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5A948" w14:textId="7895ECAF" w:rsidR="00C3558C" w:rsidRDefault="00C3558C" w:rsidP="00C3558C">
      <w:pPr>
        <w:pStyle w:val="CH"/>
      </w:pPr>
      <w:bookmarkStart w:id="0" w:name="historyclause"/>
      <w:r>
        <w:t>3GPP TSG RAN WG4 Meeting #110</w:t>
      </w:r>
      <w:r>
        <w:tab/>
      </w:r>
      <w:r>
        <w:tab/>
      </w:r>
      <w:r w:rsidR="008062F0" w:rsidRPr="008062F0">
        <w:t>R4-2400157</w:t>
      </w:r>
    </w:p>
    <w:p w14:paraId="29F05E0E" w14:textId="4A7C0639" w:rsidR="0007544A" w:rsidRPr="000271B6" w:rsidRDefault="00C3558C" w:rsidP="00C3558C">
      <w:pPr>
        <w:pStyle w:val="CH"/>
        <w:tabs>
          <w:tab w:val="clear" w:pos="7920"/>
        </w:tabs>
        <w:rPr>
          <w:b w:val="0"/>
        </w:rPr>
      </w:pPr>
      <w:r>
        <w:t>Athens, Greece, February 26 – March 1, 2024</w:t>
      </w:r>
      <w:r w:rsidR="0007544A" w:rsidRPr="000271B6">
        <w:tab/>
      </w:r>
    </w:p>
    <w:p w14:paraId="5453356A" w14:textId="77777777" w:rsidR="00637CE3" w:rsidRDefault="00637CE3" w:rsidP="00637CE3">
      <w:pPr>
        <w:tabs>
          <w:tab w:val="left" w:pos="2160"/>
        </w:tabs>
        <w:rPr>
          <w:rFonts w:ascii="Arial" w:hAnsi="Arial" w:cs="Arial"/>
          <w:b/>
        </w:rPr>
      </w:pPr>
    </w:p>
    <w:p w14:paraId="1734F602" w14:textId="5C054911" w:rsidR="00637CE3" w:rsidRPr="0008103A" w:rsidRDefault="00637CE3" w:rsidP="00637CE3">
      <w:pPr>
        <w:pStyle w:val="CH"/>
        <w:rPr>
          <w:b w:val="0"/>
        </w:rPr>
      </w:pPr>
      <w:r w:rsidRPr="0008103A">
        <w:t>Agenda item:</w:t>
      </w:r>
      <w:r>
        <w:tab/>
      </w:r>
      <w:r w:rsidR="00AB7094">
        <w:t>6.3.1</w:t>
      </w:r>
    </w:p>
    <w:p w14:paraId="65CE5DAD" w14:textId="4DABA29B" w:rsidR="00637CE3" w:rsidRPr="0008103A" w:rsidRDefault="00637CE3" w:rsidP="00637CE3">
      <w:pPr>
        <w:pStyle w:val="CH"/>
        <w:rPr>
          <w:b w:val="0"/>
        </w:rPr>
      </w:pPr>
      <w:r>
        <w:t>Source:</w:t>
      </w:r>
      <w:r>
        <w:tab/>
        <w:t>Apple</w:t>
      </w:r>
    </w:p>
    <w:p w14:paraId="38ECA378" w14:textId="26B93B36" w:rsidR="00637CE3" w:rsidRDefault="00637CE3" w:rsidP="00637CE3">
      <w:pPr>
        <w:pStyle w:val="CH"/>
        <w:ind w:left="2268" w:hanging="2268"/>
      </w:pPr>
      <w:r w:rsidRPr="0008103A">
        <w:t>Title:</w:t>
      </w:r>
      <w:r w:rsidRPr="0008103A">
        <w:tab/>
      </w:r>
      <w:r w:rsidR="003E3995">
        <w:t>O</w:t>
      </w:r>
      <w:r w:rsidR="00C3558C">
        <w:t>n 2Rx for XR</w:t>
      </w:r>
    </w:p>
    <w:p w14:paraId="57D03F91" w14:textId="18EED89F" w:rsidR="00637CE3" w:rsidRDefault="00637CE3" w:rsidP="00637CE3">
      <w:pPr>
        <w:pStyle w:val="CH"/>
      </w:pPr>
      <w:r>
        <w:t>Document for:</w:t>
      </w:r>
      <w:r>
        <w:tab/>
      </w:r>
      <w:r w:rsidR="00C3558C">
        <w:t>Discussion and Decision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678DE937" w14:textId="262BD891" w:rsidR="00692E2D" w:rsidRDefault="00692E2D" w:rsidP="00D70DC5">
      <w:r>
        <w:t>Over the past year RAN Plenary had been discussing the feasibility of introducing an exception to the mandatory rule to support 4Rx in bands &gt;2.5 GHz</w:t>
      </w:r>
      <w:r w:rsidR="009A64E3">
        <w:t xml:space="preserve"> </w:t>
      </w:r>
      <w:r w:rsidR="009A64E3">
        <w:fldChar w:fldCharType="begin"/>
      </w:r>
      <w:r w:rsidR="009A64E3">
        <w:instrText xml:space="preserve"> REF _Ref157695750 \r \h </w:instrText>
      </w:r>
      <w:r w:rsidR="009A64E3">
        <w:fldChar w:fldCharType="separate"/>
      </w:r>
      <w:r w:rsidR="00632C1E">
        <w:t>[1]</w:t>
      </w:r>
      <w:r w:rsidR="009A64E3">
        <w:fldChar w:fldCharType="end"/>
      </w:r>
      <w:r>
        <w:t>.  The most notable outcomes from this discussion, which have impact on RAN4 work, are the definition of an “XR wearable” device and a RAN task to RAN4 to complete before the next RAN meeting #103 in March 2024.</w:t>
      </w:r>
    </w:p>
    <w:p w14:paraId="25D813B2" w14:textId="77777777" w:rsidR="00692E2D" w:rsidRDefault="00692E2D" w:rsidP="00D70DC5"/>
    <w:p w14:paraId="78AE7B72" w14:textId="12FB0A44" w:rsidR="00D70DC5" w:rsidRDefault="00692E2D" w:rsidP="00D70DC5">
      <w:r>
        <w:t>The definition of XR wearable was agreed by RAN to the following formulation</w:t>
      </w:r>
      <w:r w:rsidR="00EE5FEA">
        <w:t xml:space="preserve"> </w:t>
      </w:r>
      <w:r w:rsidR="00EE5FEA">
        <w:fldChar w:fldCharType="begin"/>
      </w:r>
      <w:r w:rsidR="00EE5FEA">
        <w:instrText xml:space="preserve"> REF _Ref157695766 \r \h </w:instrText>
      </w:r>
      <w:r w:rsidR="00EE5FEA">
        <w:fldChar w:fldCharType="separate"/>
      </w:r>
      <w:r w:rsidR="00632C1E">
        <w:t>[2]</w:t>
      </w:r>
      <w:r w:rsidR="00EE5FEA">
        <w:fldChar w:fldCharType="end"/>
      </w:r>
      <w:r>
        <w:t>:</w:t>
      </w:r>
    </w:p>
    <w:p w14:paraId="40BF0826" w14:textId="3B1E1D4B" w:rsidR="004A7E47" w:rsidRDefault="004A7E47" w:rsidP="00786D2D"/>
    <w:tbl>
      <w:tblPr>
        <w:tblStyle w:val="TableGrid"/>
        <w:tblW w:w="0" w:type="auto"/>
        <w:tblLook w:val="04A0" w:firstRow="1" w:lastRow="0" w:firstColumn="1" w:lastColumn="0" w:noHBand="0" w:noVBand="1"/>
      </w:tblPr>
      <w:tblGrid>
        <w:gridCol w:w="9631"/>
      </w:tblGrid>
      <w:tr w:rsidR="006A1483" w14:paraId="363DCCC9" w14:textId="77777777" w:rsidTr="006A1483">
        <w:tc>
          <w:tcPr>
            <w:tcW w:w="9631" w:type="dxa"/>
          </w:tcPr>
          <w:p w14:paraId="2358ADAF" w14:textId="77777777" w:rsidR="00CF6EE6" w:rsidRPr="008157C2" w:rsidRDefault="00CF6EE6" w:rsidP="00CF6EE6">
            <w:pPr>
              <w:pStyle w:val="ListParagraph"/>
              <w:numPr>
                <w:ilvl w:val="0"/>
                <w:numId w:val="40"/>
              </w:numPr>
              <w:spacing w:line="259" w:lineRule="auto"/>
              <w:contextualSpacing/>
              <w:rPr>
                <w:rFonts w:cs="Calibri"/>
                <w:i/>
                <w:iCs/>
                <w:color w:val="212121"/>
              </w:rPr>
            </w:pPr>
            <w:r w:rsidRPr="008157C2">
              <w:rPr>
                <w:i/>
                <w:iCs/>
              </w:rPr>
              <w:t>Handheld smartphone UEs are excluded from any 2Rx relaxation for XR wearables.</w:t>
            </w:r>
          </w:p>
          <w:p w14:paraId="1C0BD81C" w14:textId="77777777" w:rsidR="00CF6EE6" w:rsidRPr="00B95EB2" w:rsidRDefault="00CF6EE6" w:rsidP="00CF6EE6">
            <w:pPr>
              <w:pStyle w:val="ListParagraph"/>
              <w:rPr>
                <w:rFonts w:cs="Calibri"/>
                <w:i/>
                <w:iCs/>
                <w:color w:val="212121"/>
              </w:rPr>
            </w:pPr>
            <w:r w:rsidRPr="00B95EB2">
              <w:rPr>
                <w:rFonts w:cs="Calibri"/>
                <w:i/>
                <w:iCs/>
                <w:color w:val="212121"/>
              </w:rPr>
              <w:t>The default for non-</w:t>
            </w:r>
            <w:proofErr w:type="spellStart"/>
            <w:r w:rsidRPr="00B95EB2">
              <w:rPr>
                <w:rFonts w:cs="Calibri"/>
                <w:i/>
                <w:iCs/>
                <w:color w:val="212121"/>
              </w:rPr>
              <w:t>RedCap</w:t>
            </w:r>
            <w:proofErr w:type="spellEnd"/>
            <w:r w:rsidRPr="00B95EB2">
              <w:rPr>
                <w:rFonts w:cs="Calibri"/>
                <w:i/>
                <w:iCs/>
                <w:color w:val="212121"/>
              </w:rPr>
              <w:t xml:space="preserve"> XR-wearable </w:t>
            </w:r>
            <w:r>
              <w:rPr>
                <w:rFonts w:cs="Calibri"/>
                <w:i/>
                <w:iCs/>
                <w:color w:val="212121"/>
              </w:rPr>
              <w:t>UEs</w:t>
            </w:r>
            <w:r w:rsidRPr="00B95EB2">
              <w:rPr>
                <w:rFonts w:cs="Calibri"/>
                <w:i/>
                <w:iCs/>
                <w:color w:val="212121"/>
              </w:rPr>
              <w:t xml:space="preserve"> is 4Rx (for frequency bands where 4Rx is mandated).</w:t>
            </w:r>
          </w:p>
          <w:p w14:paraId="0D6E733B" w14:textId="77777777" w:rsidR="00CF6EE6" w:rsidRPr="00B95EB2" w:rsidRDefault="00CF6EE6" w:rsidP="00CF6EE6">
            <w:pPr>
              <w:pStyle w:val="ListParagraph"/>
              <w:rPr>
                <w:rFonts w:cs="Calibri"/>
                <w:i/>
                <w:iCs/>
                <w:color w:val="212121"/>
              </w:rPr>
            </w:pPr>
            <w:r w:rsidRPr="00B95EB2">
              <w:rPr>
                <w:rFonts w:cs="Calibri"/>
                <w:i/>
                <w:iCs/>
                <w:color w:val="212121"/>
              </w:rPr>
              <w:t>A non-</w:t>
            </w:r>
            <w:proofErr w:type="spellStart"/>
            <w:r w:rsidRPr="00B95EB2">
              <w:rPr>
                <w:rFonts w:cs="Calibri"/>
                <w:i/>
                <w:iCs/>
                <w:color w:val="212121"/>
              </w:rPr>
              <w:t>RedCap</w:t>
            </w:r>
            <w:proofErr w:type="spellEnd"/>
            <w:r w:rsidRPr="00B95EB2">
              <w:rPr>
                <w:rFonts w:cs="Calibri"/>
                <w:i/>
                <w:iCs/>
                <w:color w:val="212121"/>
              </w:rPr>
              <w:t xml:space="preserve"> XR-wearable UE can be considered for 2Rx relaxation (for frequency bands where 4Rx is mandated) if and only if: </w:t>
            </w:r>
          </w:p>
          <w:p w14:paraId="614755BB" w14:textId="77777777" w:rsidR="00CF6EE6" w:rsidRPr="00FB6AB2" w:rsidRDefault="00CF6EE6" w:rsidP="00CF6EE6">
            <w:pPr>
              <w:pStyle w:val="ListParagraph"/>
              <w:numPr>
                <w:ilvl w:val="0"/>
                <w:numId w:val="39"/>
              </w:numPr>
              <w:spacing w:line="259" w:lineRule="auto"/>
              <w:contextualSpacing/>
              <w:rPr>
                <w:rFonts w:cs="Calibri"/>
                <w:i/>
                <w:iCs/>
                <w:color w:val="212121"/>
              </w:rPr>
            </w:pPr>
            <w:r w:rsidRPr="00FB6AB2">
              <w:rPr>
                <w:rFonts w:cs="Calibri"/>
                <w:i/>
                <w:iCs/>
                <w:color w:val="212121"/>
              </w:rPr>
              <w:t xml:space="preserve">Intended to be worn on the human </w:t>
            </w:r>
            <w:proofErr w:type="gramStart"/>
            <w:r w:rsidRPr="00FB6AB2">
              <w:rPr>
                <w:rFonts w:cs="Calibri"/>
                <w:i/>
                <w:iCs/>
                <w:color w:val="212121"/>
              </w:rPr>
              <w:t>head;</w:t>
            </w:r>
            <w:proofErr w:type="gramEnd"/>
          </w:p>
          <w:p w14:paraId="56B699F9" w14:textId="19EB7766" w:rsidR="006A1483" w:rsidRPr="00CF6EE6" w:rsidRDefault="00CF6EE6" w:rsidP="00CF6EE6">
            <w:pPr>
              <w:pStyle w:val="ListParagraph"/>
              <w:numPr>
                <w:ilvl w:val="0"/>
                <w:numId w:val="39"/>
              </w:numPr>
              <w:spacing w:line="259" w:lineRule="auto"/>
              <w:contextualSpacing/>
              <w:rPr>
                <w:rFonts w:cs="Calibri"/>
                <w:i/>
                <w:iCs/>
                <w:color w:val="212121"/>
              </w:rPr>
            </w:pPr>
            <w:r w:rsidRPr="00FB6AB2">
              <w:rPr>
                <w:rFonts w:cs="Calibri"/>
                <w:i/>
                <w:iCs/>
                <w:color w:val="212121"/>
              </w:rPr>
              <w:t xml:space="preserve">When in use, is intended to be supported only by/behind the ears and by a nose-bridge resulting in a constrained form factor with limited volume available for Rx chains; </w:t>
            </w:r>
          </w:p>
        </w:tc>
      </w:tr>
    </w:tbl>
    <w:p w14:paraId="61A7B018" w14:textId="613006DE" w:rsidR="009B0425" w:rsidRDefault="009B0425" w:rsidP="00786D2D"/>
    <w:p w14:paraId="13F9FAF8" w14:textId="0A0FF787" w:rsidR="004105B2" w:rsidRDefault="00692E2D" w:rsidP="004105B2">
      <w:r>
        <w:t>During the RAN #102 meeting the following agreements were made, resulting in a task for RAN4</w:t>
      </w:r>
      <w:r w:rsidR="00EE5FEA">
        <w:t xml:space="preserve"> </w:t>
      </w:r>
      <w:r w:rsidR="00EE5FEA">
        <w:fldChar w:fldCharType="begin"/>
      </w:r>
      <w:r w:rsidR="00EE5FEA">
        <w:instrText xml:space="preserve"> REF _Ref157695771 \r \h </w:instrText>
      </w:r>
      <w:r w:rsidR="00EE5FEA">
        <w:fldChar w:fldCharType="separate"/>
      </w:r>
      <w:r w:rsidR="00632C1E">
        <w:t>[3]</w:t>
      </w:r>
      <w:r w:rsidR="00EE5FEA">
        <w:fldChar w:fldCharType="end"/>
      </w:r>
      <w:r>
        <w:t>:</w:t>
      </w:r>
    </w:p>
    <w:p w14:paraId="213D844E" w14:textId="77777777" w:rsidR="00692E2D" w:rsidRDefault="00692E2D" w:rsidP="004105B2"/>
    <w:tbl>
      <w:tblPr>
        <w:tblStyle w:val="TableGrid"/>
        <w:tblW w:w="0" w:type="auto"/>
        <w:tblLook w:val="04A0" w:firstRow="1" w:lastRow="0" w:firstColumn="1" w:lastColumn="0" w:noHBand="0" w:noVBand="1"/>
      </w:tblPr>
      <w:tblGrid>
        <w:gridCol w:w="9631"/>
      </w:tblGrid>
      <w:tr w:rsidR="00CF6EE6" w14:paraId="5FAECF26" w14:textId="77777777" w:rsidTr="00112340">
        <w:tc>
          <w:tcPr>
            <w:tcW w:w="9631" w:type="dxa"/>
          </w:tcPr>
          <w:p w14:paraId="0864178A" w14:textId="77777777" w:rsidR="00CF6EE6" w:rsidRPr="008B7F27" w:rsidRDefault="00CF6EE6" w:rsidP="00CF6EE6">
            <w:pPr>
              <w:pStyle w:val="ListParagraph"/>
              <w:numPr>
                <w:ilvl w:val="0"/>
                <w:numId w:val="41"/>
              </w:numPr>
              <w:spacing w:after="160" w:line="259" w:lineRule="auto"/>
              <w:ind w:left="360"/>
              <w:contextualSpacing/>
            </w:pPr>
            <w:r w:rsidRPr="008B7F27">
              <w:rPr>
                <w:b/>
                <w:bCs/>
                <w:u w:val="single"/>
              </w:rPr>
              <w:t>Task RAN2 and RAN3</w:t>
            </w:r>
            <w:r w:rsidRPr="008B7F27">
              <w:t xml:space="preserve"> to develop signaling support for ‘2Rx non-REDCAP XR devices’, send corresponding Release-18 draft CR(s) to RAN#103:</w:t>
            </w:r>
          </w:p>
          <w:p w14:paraId="02E7B51F" w14:textId="77777777" w:rsidR="00CF6EE6" w:rsidRPr="008B7F27" w:rsidRDefault="00CF6EE6" w:rsidP="00CF6EE6">
            <w:pPr>
              <w:pStyle w:val="ListParagraph"/>
              <w:numPr>
                <w:ilvl w:val="0"/>
                <w:numId w:val="42"/>
              </w:numPr>
              <w:spacing w:after="160" w:line="259" w:lineRule="auto"/>
              <w:ind w:left="720"/>
              <w:contextualSpacing/>
            </w:pPr>
            <w:r w:rsidRPr="008B7F27">
              <w:t>A new dedicated UE capability indication per band and setting of corresponding existing UE capability(</w:t>
            </w:r>
            <w:proofErr w:type="spellStart"/>
            <w:r w:rsidRPr="008B7F27">
              <w:t>ies</w:t>
            </w:r>
            <w:proofErr w:type="spellEnd"/>
            <w:r w:rsidRPr="008B7F27">
              <w:t>). [RAN2]</w:t>
            </w:r>
            <w:r w:rsidRPr="008B7F27">
              <w:br/>
            </w:r>
            <w:r w:rsidRPr="008B7F27">
              <w:rPr>
                <w:i/>
                <w:iCs/>
              </w:rPr>
              <w:t>Note: no need is foreseen to add an indication to Msg1 or Msg3.</w:t>
            </w:r>
          </w:p>
          <w:p w14:paraId="0E1C0B48" w14:textId="77777777" w:rsidR="00CF6EE6" w:rsidRPr="008B7F27" w:rsidRDefault="00CF6EE6" w:rsidP="00CF6EE6">
            <w:pPr>
              <w:pStyle w:val="ListParagraph"/>
              <w:numPr>
                <w:ilvl w:val="0"/>
                <w:numId w:val="42"/>
              </w:numPr>
              <w:spacing w:after="160" w:line="259" w:lineRule="auto"/>
              <w:ind w:left="720"/>
              <w:contextualSpacing/>
            </w:pPr>
            <w:r w:rsidRPr="008B7F27">
              <w:t xml:space="preserve">Indication in SIB, to be used to re-direct to another frequency layer, or to bar the device altogether. [RAN2] </w:t>
            </w:r>
          </w:p>
          <w:p w14:paraId="64E9724B" w14:textId="77777777" w:rsidR="00CF6EE6" w:rsidRPr="008B7F27" w:rsidRDefault="00CF6EE6" w:rsidP="00CF6EE6">
            <w:pPr>
              <w:pStyle w:val="ListParagraph"/>
              <w:numPr>
                <w:ilvl w:val="0"/>
                <w:numId w:val="42"/>
              </w:numPr>
              <w:spacing w:after="160" w:line="259" w:lineRule="auto"/>
              <w:ind w:left="720"/>
              <w:contextualSpacing/>
            </w:pPr>
            <w:r w:rsidRPr="008B7F27">
              <w:t>SPID indication from the Core Network to gNB. [RAN3]</w:t>
            </w:r>
          </w:p>
          <w:p w14:paraId="2A866575" w14:textId="655EE7C0" w:rsidR="00CF6EE6" w:rsidRPr="008B7F27" w:rsidRDefault="00CF6EE6" w:rsidP="003E1BFA">
            <w:pPr>
              <w:pStyle w:val="ListParagraph"/>
              <w:numPr>
                <w:ilvl w:val="0"/>
                <w:numId w:val="42"/>
              </w:numPr>
              <w:spacing w:after="160" w:line="259" w:lineRule="auto"/>
              <w:ind w:left="720"/>
              <w:contextualSpacing/>
            </w:pPr>
            <w:r w:rsidRPr="008B7F27">
              <w:t xml:space="preserve">N2-NGAP indication for ‘2Rx non-REDCAP XR devices’ from gNB to Core Network to </w:t>
            </w:r>
            <w:proofErr w:type="gramStart"/>
            <w:r w:rsidRPr="008B7F27">
              <w:t>take action</w:t>
            </w:r>
            <w:proofErr w:type="gramEnd"/>
            <w:r w:rsidRPr="008B7F27">
              <w:t xml:space="preserve"> based on operator policy. [RAN3]  </w:t>
            </w:r>
          </w:p>
          <w:p w14:paraId="00EEFB38" w14:textId="77777777" w:rsidR="00CF6EE6" w:rsidRPr="008B7F27" w:rsidRDefault="00CF6EE6" w:rsidP="00CF6EE6">
            <w:pPr>
              <w:pStyle w:val="ListParagraph"/>
              <w:numPr>
                <w:ilvl w:val="0"/>
                <w:numId w:val="41"/>
              </w:numPr>
              <w:spacing w:after="160" w:line="259" w:lineRule="auto"/>
              <w:ind w:left="360"/>
              <w:contextualSpacing/>
            </w:pPr>
            <w:r w:rsidRPr="008B7F27">
              <w:rPr>
                <w:b/>
                <w:bCs/>
                <w:u w:val="single"/>
              </w:rPr>
              <w:t>Task RAN4</w:t>
            </w:r>
            <w:r w:rsidRPr="008B7F27">
              <w:t xml:space="preserve"> to develop Release-18 draft CR(s) to RAN#103 for ‘2Rx non-REDCAP XR devices’:</w:t>
            </w:r>
          </w:p>
          <w:p w14:paraId="6B285248" w14:textId="77777777" w:rsidR="00CF6EE6" w:rsidRPr="008B7F27" w:rsidRDefault="00CF6EE6" w:rsidP="00CF6EE6">
            <w:pPr>
              <w:pStyle w:val="ListParagraph"/>
              <w:numPr>
                <w:ilvl w:val="0"/>
                <w:numId w:val="42"/>
              </w:numPr>
              <w:spacing w:after="160" w:line="259" w:lineRule="auto"/>
              <w:ind w:left="720"/>
              <w:contextualSpacing/>
            </w:pPr>
            <w:r w:rsidRPr="008B7F27">
              <w:t>Capture the definition of 2Rx non-REDCAP XR devices in [38.101-1] using the definition from RAN#101 (c.f. RP-232657)</w:t>
            </w:r>
          </w:p>
          <w:p w14:paraId="0D80867F" w14:textId="6F4C416F" w:rsidR="00CF6EE6" w:rsidRPr="00210C0D" w:rsidRDefault="00CF6EE6" w:rsidP="003E1BFA">
            <w:pPr>
              <w:pStyle w:val="ListParagraph"/>
              <w:numPr>
                <w:ilvl w:val="0"/>
                <w:numId w:val="42"/>
              </w:numPr>
              <w:spacing w:after="160" w:line="259" w:lineRule="auto"/>
              <w:ind w:left="720"/>
              <w:contextualSpacing/>
            </w:pPr>
            <w:r w:rsidRPr="008B7F27">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16B468F1" w14:textId="77777777" w:rsidR="00CF6EE6" w:rsidRPr="00F17803" w:rsidRDefault="00CF6EE6" w:rsidP="00CF6EE6">
            <w:pPr>
              <w:pStyle w:val="ListParagraph"/>
              <w:numPr>
                <w:ilvl w:val="0"/>
                <w:numId w:val="41"/>
              </w:numPr>
              <w:spacing w:after="160" w:line="259" w:lineRule="auto"/>
              <w:ind w:left="360"/>
              <w:contextualSpacing/>
            </w:pPr>
            <w:r w:rsidRPr="007E7267">
              <w:rPr>
                <w:b/>
                <w:bCs/>
                <w:u w:val="single"/>
              </w:rPr>
              <w:t>TSG-RAN#103 in March</w:t>
            </w:r>
            <w:r>
              <w:rPr>
                <w:b/>
                <w:bCs/>
                <w:u w:val="single"/>
              </w:rPr>
              <w:t>:</w:t>
            </w:r>
            <w:r>
              <w:t xml:space="preserve"> </w:t>
            </w:r>
          </w:p>
          <w:p w14:paraId="222A9EE0" w14:textId="77777777" w:rsidR="00CF6EE6" w:rsidRPr="00F17803" w:rsidRDefault="00CF6EE6" w:rsidP="00CF6EE6">
            <w:pPr>
              <w:pStyle w:val="ListParagraph"/>
              <w:numPr>
                <w:ilvl w:val="0"/>
                <w:numId w:val="43"/>
              </w:numPr>
              <w:spacing w:after="160" w:line="259" w:lineRule="auto"/>
              <w:contextualSpacing/>
            </w:pPr>
            <w:r>
              <w:t>Consider approving the draft CRs from RAN2, RAN3 and RAN4 for Release-18</w:t>
            </w:r>
          </w:p>
          <w:p w14:paraId="581DA920" w14:textId="77777777" w:rsidR="00CF6EE6" w:rsidRPr="00F17803" w:rsidRDefault="00CF6EE6" w:rsidP="00CF6EE6">
            <w:pPr>
              <w:pStyle w:val="ListParagraph"/>
              <w:numPr>
                <w:ilvl w:val="0"/>
                <w:numId w:val="43"/>
              </w:numPr>
              <w:spacing w:after="160" w:line="259" w:lineRule="auto"/>
              <w:contextualSpacing/>
            </w:pPr>
            <w:r>
              <w:t xml:space="preserve">Consider approving Release-19 work to be conducted on detailed OTA work for ‘2Rx non-REDCAP XR </w:t>
            </w:r>
            <w:proofErr w:type="gramStart"/>
            <w:r>
              <w:t>devices’</w:t>
            </w:r>
            <w:proofErr w:type="gramEnd"/>
            <w:r>
              <w:t>.</w:t>
            </w:r>
          </w:p>
          <w:p w14:paraId="2FC97C35" w14:textId="0C658D86" w:rsidR="00CF6EE6" w:rsidRPr="00CF6EE6" w:rsidRDefault="00CF6EE6" w:rsidP="00CF6EE6">
            <w:pPr>
              <w:pStyle w:val="ListParagraph"/>
              <w:numPr>
                <w:ilvl w:val="0"/>
                <w:numId w:val="43"/>
              </w:numPr>
              <w:spacing w:after="160" w:line="259" w:lineRule="auto"/>
              <w:contextualSpacing/>
            </w:pPr>
            <w:r>
              <w:t>Points 1) and 2) represent a package, each one is dependent on the other moving forward.</w:t>
            </w:r>
          </w:p>
        </w:tc>
      </w:tr>
    </w:tbl>
    <w:p w14:paraId="11F46958" w14:textId="77777777" w:rsidR="00692E2D" w:rsidRDefault="00692E2D" w:rsidP="004105B2"/>
    <w:p w14:paraId="67D88D3A" w14:textId="04B18F27" w:rsidR="004105B2" w:rsidRDefault="004105B2" w:rsidP="004105B2">
      <w:r>
        <w:t xml:space="preserve">This contribution provides </w:t>
      </w:r>
      <w:r w:rsidR="00692E2D">
        <w:t>our views and recommendations on how RAN4 can address the RAN task related to the 2Rx XR topic.</w:t>
      </w:r>
    </w:p>
    <w:p w14:paraId="5794D991" w14:textId="4B4E3E10" w:rsidR="00617EE1" w:rsidRDefault="00617EE1" w:rsidP="00617EE1">
      <w:pPr>
        <w:pStyle w:val="Heading1"/>
        <w:rPr>
          <w:lang w:val="en-US"/>
        </w:rPr>
      </w:pPr>
      <w:r>
        <w:rPr>
          <w:lang w:val="en-US"/>
        </w:rPr>
        <w:lastRenderedPageBreak/>
        <w:t>2</w:t>
      </w:r>
      <w:r w:rsidRPr="003E244D">
        <w:rPr>
          <w:lang w:val="en-US"/>
        </w:rPr>
        <w:tab/>
      </w:r>
      <w:r>
        <w:rPr>
          <w:lang w:val="en-US"/>
        </w:rPr>
        <w:t>Discussion</w:t>
      </w:r>
    </w:p>
    <w:p w14:paraId="5C046965" w14:textId="13B812C6" w:rsidR="00FF1985" w:rsidRPr="00FF1985" w:rsidRDefault="00FF1985" w:rsidP="00FF1985">
      <w:pPr>
        <w:pStyle w:val="Heading2"/>
      </w:pPr>
      <w:r>
        <w:t>2.1</w:t>
      </w:r>
      <w:r>
        <w:tab/>
        <w:t>REFSENS aspects</w:t>
      </w:r>
    </w:p>
    <w:p w14:paraId="0A7877C1" w14:textId="6D7C688F" w:rsidR="00D323CE" w:rsidRDefault="00E03E13" w:rsidP="006B7323">
      <w:r>
        <w:t xml:space="preserve">The REFSENS requirements in the NR (TS38.101-1) </w:t>
      </w:r>
      <w:r>
        <w:fldChar w:fldCharType="begin"/>
      </w:r>
      <w:r>
        <w:instrText xml:space="preserve"> REF _Ref157669072 \r \h </w:instrText>
      </w:r>
      <w:r>
        <w:fldChar w:fldCharType="separate"/>
      </w:r>
      <w:r w:rsidR="00632C1E">
        <w:t>[4]</w:t>
      </w:r>
      <w:r>
        <w:fldChar w:fldCharType="end"/>
      </w:r>
      <w:r>
        <w:t xml:space="preserve"> specification have been derived from LTE requirements (TS36.101) </w:t>
      </w:r>
      <w:r>
        <w:fldChar w:fldCharType="begin"/>
      </w:r>
      <w:r>
        <w:instrText xml:space="preserve"> REF _Ref157669060 \r \h </w:instrText>
      </w:r>
      <w:r>
        <w:fldChar w:fldCharType="separate"/>
      </w:r>
      <w:r w:rsidR="00632C1E">
        <w:t>[5]</w:t>
      </w:r>
      <w:r>
        <w:fldChar w:fldCharType="end"/>
      </w:r>
      <w:r>
        <w:t xml:space="preserve"> for re-farmed bands and developed anew for new NR bands.  This process is documented in the technical report on NR RF aspects</w:t>
      </w:r>
      <w:r w:rsidR="001F6265">
        <w:t xml:space="preserve"> (</w:t>
      </w:r>
      <w:r w:rsidR="001F6265" w:rsidRPr="001F6265">
        <w:t>TR38.817-01</w:t>
      </w:r>
      <w:r w:rsidR="001F6265">
        <w:t>)</w:t>
      </w:r>
      <w:r>
        <w:t xml:space="preserve"> </w:t>
      </w:r>
      <w:r>
        <w:fldChar w:fldCharType="begin"/>
      </w:r>
      <w:r>
        <w:instrText xml:space="preserve"> REF _Ref157669218 \r \h </w:instrText>
      </w:r>
      <w:r>
        <w:fldChar w:fldCharType="separate"/>
      </w:r>
      <w:r w:rsidR="00632C1E">
        <w:t>[6]</w:t>
      </w:r>
      <w:r>
        <w:fldChar w:fldCharType="end"/>
      </w:r>
      <w:r>
        <w:t>:</w:t>
      </w:r>
    </w:p>
    <w:p w14:paraId="1A071379" w14:textId="77777777" w:rsidR="00EC5242" w:rsidRDefault="00EC5242" w:rsidP="006B7323"/>
    <w:tbl>
      <w:tblPr>
        <w:tblStyle w:val="TableGrid"/>
        <w:tblW w:w="0" w:type="auto"/>
        <w:tblLook w:val="04A0" w:firstRow="1" w:lastRow="0" w:firstColumn="1" w:lastColumn="0" w:noHBand="0" w:noVBand="1"/>
      </w:tblPr>
      <w:tblGrid>
        <w:gridCol w:w="9631"/>
      </w:tblGrid>
      <w:tr w:rsidR="0072574E" w14:paraId="4B06323F" w14:textId="77777777" w:rsidTr="0072574E">
        <w:tc>
          <w:tcPr>
            <w:tcW w:w="9631" w:type="dxa"/>
          </w:tcPr>
          <w:p w14:paraId="25D08189" w14:textId="34DDCDC4" w:rsidR="0072574E" w:rsidRDefault="0072574E" w:rsidP="006B7323">
            <w:r w:rsidRPr="0072574E">
              <w:rPr>
                <w:noProof/>
              </w:rPr>
              <w:drawing>
                <wp:inline distT="0" distB="0" distL="0" distR="0" wp14:anchorId="3C2BB843" wp14:editId="7448B6EE">
                  <wp:extent cx="6122035" cy="2870835"/>
                  <wp:effectExtent l="0" t="0" r="0" b="0"/>
                  <wp:docPr id="4809017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901702" name=""/>
                          <pic:cNvPicPr/>
                        </pic:nvPicPr>
                        <pic:blipFill>
                          <a:blip r:embed="rId9"/>
                          <a:stretch>
                            <a:fillRect/>
                          </a:stretch>
                        </pic:blipFill>
                        <pic:spPr>
                          <a:xfrm>
                            <a:off x="0" y="0"/>
                            <a:ext cx="6122035" cy="2870835"/>
                          </a:xfrm>
                          <a:prstGeom prst="rect">
                            <a:avLst/>
                          </a:prstGeom>
                        </pic:spPr>
                      </pic:pic>
                    </a:graphicData>
                  </a:graphic>
                </wp:inline>
              </w:drawing>
            </w:r>
          </w:p>
        </w:tc>
      </w:tr>
    </w:tbl>
    <w:p w14:paraId="63F1E827" w14:textId="77777777" w:rsidR="00EC5242" w:rsidRDefault="00EC5242" w:rsidP="006B7323"/>
    <w:p w14:paraId="32AF5E7A" w14:textId="76A3F2D9" w:rsidR="00C756A7" w:rsidRDefault="003E1BFA" w:rsidP="00C756A7">
      <w:r>
        <w:t>T</w:t>
      </w:r>
      <w:r w:rsidR="00C756A7">
        <w:t xml:space="preserve">he </w:t>
      </w:r>
      <w:r>
        <w:t xml:space="preserve">implementation margin (IM) </w:t>
      </w:r>
      <w:r w:rsidR="00C756A7">
        <w:t xml:space="preserve">for all TDD bands is taken to be 2.5 dB, </w:t>
      </w:r>
      <w:proofErr w:type="gramStart"/>
      <w:r w:rsidR="00C756A7">
        <w:t>with the exception of</w:t>
      </w:r>
      <w:proofErr w:type="gramEnd"/>
      <w:r w:rsidR="00C756A7">
        <w:t xml:space="preserve"> band n41, where additional margin is accounted for to accommodate coexistence with the ISM band (</w:t>
      </w:r>
      <w:r w:rsidR="00C756A7" w:rsidRPr="001F6265">
        <w:t>TR36.812</w:t>
      </w:r>
      <w:r w:rsidR="00C756A7">
        <w:t xml:space="preserve">) </w:t>
      </w:r>
      <w:r w:rsidR="00C756A7">
        <w:fldChar w:fldCharType="begin"/>
      </w:r>
      <w:r w:rsidR="00C756A7">
        <w:instrText xml:space="preserve"> REF _Ref157669313 \r \h </w:instrText>
      </w:r>
      <w:r w:rsidR="00C756A7">
        <w:fldChar w:fldCharType="separate"/>
      </w:r>
      <w:r w:rsidR="00632C1E">
        <w:t>[7]</w:t>
      </w:r>
      <w:r w:rsidR="00C756A7">
        <w:fldChar w:fldCharType="end"/>
      </w:r>
      <w:r w:rsidR="00C756A7">
        <w:t>:</w:t>
      </w:r>
    </w:p>
    <w:p w14:paraId="0CC82C37" w14:textId="77777777" w:rsidR="00C756A7" w:rsidRDefault="00C756A7" w:rsidP="00C756A7"/>
    <w:tbl>
      <w:tblPr>
        <w:tblStyle w:val="TableGrid"/>
        <w:tblW w:w="0" w:type="auto"/>
        <w:tblLook w:val="04A0" w:firstRow="1" w:lastRow="0" w:firstColumn="1" w:lastColumn="0" w:noHBand="0" w:noVBand="1"/>
      </w:tblPr>
      <w:tblGrid>
        <w:gridCol w:w="9631"/>
      </w:tblGrid>
      <w:tr w:rsidR="00C756A7" w14:paraId="0F2662AE" w14:textId="77777777" w:rsidTr="007F6456">
        <w:tc>
          <w:tcPr>
            <w:tcW w:w="9631" w:type="dxa"/>
          </w:tcPr>
          <w:p w14:paraId="7654EECD" w14:textId="77777777" w:rsidR="00C756A7" w:rsidRPr="00A839DE" w:rsidRDefault="00C756A7" w:rsidP="007F6456">
            <w:pPr>
              <w:pStyle w:val="Heading3"/>
            </w:pPr>
            <w:bookmarkStart w:id="1" w:name="_Toc282036949"/>
            <w:r w:rsidRPr="00A839DE">
              <w:t>5.2.3</w:t>
            </w:r>
            <w:r w:rsidRPr="00A839DE">
              <w:tab/>
              <w:t>Reference sensitivity power level</w:t>
            </w:r>
            <w:bookmarkEnd w:id="1"/>
          </w:p>
          <w:p w14:paraId="335A30D9" w14:textId="77777777" w:rsidR="00C756A7" w:rsidRPr="00ED3988" w:rsidRDefault="00C756A7" w:rsidP="007F6456">
            <w:pPr>
              <w:rPr>
                <w:color w:val="000000"/>
              </w:rPr>
            </w:pPr>
            <w:r w:rsidRPr="00ED3988">
              <w:rPr>
                <w:color w:val="000000"/>
              </w:rPr>
              <w:t xml:space="preserve">The reference sensitivity power level REFSENS is the minimum mean power applied to both the UE antenna ports at which the throughput shall meet or exceed the requirements for the specified reference measurement channel. </w:t>
            </w:r>
            <w:r w:rsidRPr="00ED3988">
              <w:rPr>
                <w:rFonts w:eastAsia="SimSun"/>
                <w:color w:val="000000"/>
                <w:lang w:eastAsia="zh-CN"/>
              </w:rPr>
              <w:t xml:space="preserve">In E-UTRA, band specific RF receiver sensitivity is determined by the theoretical thermal noise floor, receiver noise figure and implementation margin plus SINR requirement to achieve reference throughput. </w:t>
            </w:r>
            <w:r w:rsidRPr="00ED3988">
              <w:rPr>
                <w:color w:val="000000"/>
              </w:rPr>
              <w:t xml:space="preserve">The detailed analysis of REFSENS for TDD bands was presented in [11], and it was agreed that the same 2dB implementation margin (including Tx noise) applies to all TDD bands. </w:t>
            </w:r>
            <w:r w:rsidRPr="00ED3988">
              <w:rPr>
                <w:rFonts w:eastAsia="SimSun"/>
                <w:color w:val="000000"/>
                <w:lang w:eastAsia="zh-CN"/>
              </w:rPr>
              <w:t>The 2dB implementation margin is consequently adopted to derive REFSENS for TDD bands in TS36.101. Therefore, thanks to the same theoretical thermal noise floor and receiver noise figure, the band agnostic implementation margin results in the same UE REFSENS in same bandwidth for all TDD bands. Thus, the reference sensitivity of Band [41] is defined to be the same as other TDD bands and is given in Table 5.2.3-1.</w:t>
            </w:r>
          </w:p>
          <w:p w14:paraId="2610D0C5" w14:textId="77777777" w:rsidR="00C756A7" w:rsidRPr="00ED3988" w:rsidRDefault="00C756A7" w:rsidP="007F6456">
            <w:pPr>
              <w:pStyle w:val="TH"/>
            </w:pPr>
            <w:r w:rsidRPr="00ED3988">
              <w:t>Table 5.2.3-1: Reference sensitivity QPSK P</w:t>
            </w:r>
            <w:r w:rsidRPr="00ED3988">
              <w:rPr>
                <w:vertAlign w:val="subscript"/>
              </w:rPr>
              <w:t>REFSENS</w:t>
            </w:r>
            <w:r w:rsidRPr="00ED3988">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6"/>
              <w:gridCol w:w="926"/>
              <w:gridCol w:w="926"/>
              <w:gridCol w:w="925"/>
              <w:gridCol w:w="926"/>
              <w:gridCol w:w="926"/>
              <w:gridCol w:w="926"/>
            </w:tblGrid>
            <w:tr w:rsidR="00C756A7" w:rsidRPr="00ED3988" w14:paraId="3FA362DC" w14:textId="77777777" w:rsidTr="007F6456">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E25EA88" w14:textId="77777777" w:rsidR="00C756A7" w:rsidRPr="00ED3988" w:rsidRDefault="00C756A7" w:rsidP="007F6456">
                  <w:pPr>
                    <w:pStyle w:val="TAH"/>
                  </w:pPr>
                  <w:r w:rsidRPr="00ED3988">
                    <w:t>Channel bandwidth</w:t>
                  </w:r>
                </w:p>
              </w:tc>
            </w:tr>
            <w:tr w:rsidR="00C756A7" w:rsidRPr="00ED3988" w14:paraId="1C1CFECD" w14:textId="77777777" w:rsidTr="007F6456">
              <w:trPr>
                <w:trHeight w:val="420"/>
              </w:trPr>
              <w:tc>
                <w:tcPr>
                  <w:tcW w:w="925" w:type="dxa"/>
                  <w:shd w:val="clear" w:color="auto" w:fill="auto"/>
                  <w:vAlign w:val="center"/>
                </w:tcPr>
                <w:p w14:paraId="7A146AB5" w14:textId="77777777" w:rsidR="00C756A7" w:rsidRPr="00ED3988" w:rsidRDefault="00C756A7" w:rsidP="007F6456">
                  <w:pPr>
                    <w:pStyle w:val="TAH"/>
                    <w:rPr>
                      <w:rFonts w:eastAsia="MS Mincho"/>
                    </w:rPr>
                  </w:pPr>
                  <w:r w:rsidRPr="00ED3988">
                    <w:rPr>
                      <w:rFonts w:eastAsia="MS Mincho"/>
                    </w:rPr>
                    <w:t>E-UTRA Band</w:t>
                  </w:r>
                </w:p>
              </w:tc>
              <w:tc>
                <w:tcPr>
                  <w:tcW w:w="926" w:type="dxa"/>
                  <w:shd w:val="clear" w:color="auto" w:fill="auto"/>
                  <w:vAlign w:val="center"/>
                </w:tcPr>
                <w:p w14:paraId="7C4EAB52" w14:textId="77777777" w:rsidR="00C756A7" w:rsidRPr="00ED3988" w:rsidRDefault="00C756A7" w:rsidP="007F6456">
                  <w:pPr>
                    <w:pStyle w:val="TAH"/>
                    <w:rPr>
                      <w:rFonts w:eastAsia="MS Mincho"/>
                    </w:rPr>
                  </w:pPr>
                  <w:r w:rsidRPr="00ED3988">
                    <w:rPr>
                      <w:rFonts w:eastAsia="MS Mincho"/>
                    </w:rPr>
                    <w:t>1.4 MHz</w:t>
                  </w:r>
                </w:p>
                <w:p w14:paraId="710F5582" w14:textId="77777777" w:rsidR="00C756A7" w:rsidRPr="00ED3988" w:rsidRDefault="00C756A7" w:rsidP="007F6456">
                  <w:pPr>
                    <w:pStyle w:val="TAH"/>
                    <w:rPr>
                      <w:rFonts w:eastAsia="MS Mincho"/>
                    </w:rPr>
                  </w:pPr>
                  <w:r w:rsidRPr="00ED3988">
                    <w:rPr>
                      <w:rFonts w:eastAsia="MS Mincho"/>
                    </w:rPr>
                    <w:t>(dBm)</w:t>
                  </w:r>
                </w:p>
              </w:tc>
              <w:tc>
                <w:tcPr>
                  <w:tcW w:w="926" w:type="dxa"/>
                  <w:shd w:val="clear" w:color="auto" w:fill="auto"/>
                  <w:vAlign w:val="center"/>
                </w:tcPr>
                <w:p w14:paraId="74504BA4" w14:textId="77777777" w:rsidR="00C756A7" w:rsidRPr="00ED3988" w:rsidRDefault="00C756A7" w:rsidP="007F6456">
                  <w:pPr>
                    <w:pStyle w:val="TAH"/>
                    <w:rPr>
                      <w:rFonts w:eastAsia="MS Mincho"/>
                    </w:rPr>
                  </w:pPr>
                  <w:r w:rsidRPr="00ED3988">
                    <w:rPr>
                      <w:rFonts w:eastAsia="MS Mincho"/>
                    </w:rPr>
                    <w:t>3 MHz</w:t>
                  </w:r>
                </w:p>
                <w:p w14:paraId="4772D6AD" w14:textId="77777777" w:rsidR="00C756A7" w:rsidRPr="00ED3988" w:rsidRDefault="00C756A7" w:rsidP="007F6456">
                  <w:pPr>
                    <w:pStyle w:val="TAH"/>
                    <w:rPr>
                      <w:rFonts w:eastAsia="MS Mincho"/>
                    </w:rPr>
                  </w:pPr>
                  <w:r w:rsidRPr="00ED3988">
                    <w:rPr>
                      <w:rFonts w:eastAsia="MS Mincho"/>
                    </w:rPr>
                    <w:t>(dBm)</w:t>
                  </w:r>
                </w:p>
              </w:tc>
              <w:tc>
                <w:tcPr>
                  <w:tcW w:w="926" w:type="dxa"/>
                  <w:shd w:val="clear" w:color="auto" w:fill="auto"/>
                  <w:vAlign w:val="center"/>
                </w:tcPr>
                <w:p w14:paraId="1BA28DAE" w14:textId="77777777" w:rsidR="00C756A7" w:rsidRPr="00ED3988" w:rsidRDefault="00C756A7" w:rsidP="007F6456">
                  <w:pPr>
                    <w:pStyle w:val="TAH"/>
                    <w:rPr>
                      <w:rFonts w:eastAsia="MS Mincho"/>
                    </w:rPr>
                  </w:pPr>
                  <w:r w:rsidRPr="00ED3988">
                    <w:rPr>
                      <w:rFonts w:eastAsia="MS Mincho"/>
                    </w:rPr>
                    <w:t>5 MHz</w:t>
                  </w:r>
                </w:p>
                <w:p w14:paraId="46221617" w14:textId="77777777" w:rsidR="00C756A7" w:rsidRPr="00ED3988" w:rsidRDefault="00C756A7" w:rsidP="007F6456">
                  <w:pPr>
                    <w:pStyle w:val="TAH"/>
                    <w:rPr>
                      <w:rFonts w:eastAsia="MS Mincho"/>
                    </w:rPr>
                  </w:pPr>
                  <w:r w:rsidRPr="00ED3988">
                    <w:rPr>
                      <w:rFonts w:eastAsia="MS Mincho"/>
                    </w:rPr>
                    <w:t>(dBm)</w:t>
                  </w:r>
                </w:p>
              </w:tc>
              <w:tc>
                <w:tcPr>
                  <w:tcW w:w="925" w:type="dxa"/>
                  <w:shd w:val="clear" w:color="auto" w:fill="auto"/>
                  <w:vAlign w:val="center"/>
                </w:tcPr>
                <w:p w14:paraId="24B64DF1" w14:textId="77777777" w:rsidR="00C756A7" w:rsidRPr="00ED3988" w:rsidRDefault="00C756A7" w:rsidP="007F6456">
                  <w:pPr>
                    <w:pStyle w:val="TAH"/>
                    <w:rPr>
                      <w:rFonts w:eastAsia="MS Mincho"/>
                    </w:rPr>
                  </w:pPr>
                  <w:r w:rsidRPr="00ED3988">
                    <w:rPr>
                      <w:rFonts w:eastAsia="MS Mincho"/>
                    </w:rPr>
                    <w:t>10 MHz</w:t>
                  </w:r>
                </w:p>
                <w:p w14:paraId="00D8EB60" w14:textId="77777777" w:rsidR="00C756A7" w:rsidRPr="00ED3988" w:rsidRDefault="00C756A7" w:rsidP="007F6456">
                  <w:pPr>
                    <w:pStyle w:val="TAH"/>
                    <w:rPr>
                      <w:rFonts w:eastAsia="MS Mincho"/>
                    </w:rPr>
                  </w:pPr>
                  <w:r w:rsidRPr="00ED3988">
                    <w:rPr>
                      <w:rFonts w:eastAsia="MS Mincho"/>
                    </w:rPr>
                    <w:t>(dBm)</w:t>
                  </w:r>
                </w:p>
              </w:tc>
              <w:tc>
                <w:tcPr>
                  <w:tcW w:w="926" w:type="dxa"/>
                  <w:shd w:val="clear" w:color="auto" w:fill="auto"/>
                  <w:vAlign w:val="center"/>
                </w:tcPr>
                <w:p w14:paraId="1CCA66AB" w14:textId="77777777" w:rsidR="00C756A7" w:rsidRPr="00ED3988" w:rsidRDefault="00C756A7" w:rsidP="007F6456">
                  <w:pPr>
                    <w:pStyle w:val="TAH"/>
                    <w:rPr>
                      <w:rFonts w:eastAsia="MS Mincho"/>
                    </w:rPr>
                  </w:pPr>
                  <w:r w:rsidRPr="00ED3988">
                    <w:rPr>
                      <w:rFonts w:eastAsia="MS Mincho"/>
                    </w:rPr>
                    <w:t>15 MHz</w:t>
                  </w:r>
                </w:p>
                <w:p w14:paraId="1BD168B8" w14:textId="77777777" w:rsidR="00C756A7" w:rsidRPr="00ED3988" w:rsidRDefault="00C756A7" w:rsidP="007F6456">
                  <w:pPr>
                    <w:pStyle w:val="TAH"/>
                    <w:rPr>
                      <w:rFonts w:eastAsia="MS Mincho"/>
                    </w:rPr>
                  </w:pPr>
                  <w:r w:rsidRPr="00ED3988">
                    <w:rPr>
                      <w:rFonts w:eastAsia="MS Mincho"/>
                    </w:rPr>
                    <w:t>(dBm)</w:t>
                  </w:r>
                </w:p>
              </w:tc>
              <w:tc>
                <w:tcPr>
                  <w:tcW w:w="926" w:type="dxa"/>
                  <w:shd w:val="clear" w:color="auto" w:fill="auto"/>
                  <w:vAlign w:val="center"/>
                </w:tcPr>
                <w:p w14:paraId="4BAB1B78" w14:textId="77777777" w:rsidR="00C756A7" w:rsidRPr="00ED3988" w:rsidRDefault="00C756A7" w:rsidP="007F6456">
                  <w:pPr>
                    <w:pStyle w:val="TAH"/>
                    <w:rPr>
                      <w:rFonts w:eastAsia="MS Mincho"/>
                    </w:rPr>
                  </w:pPr>
                  <w:r w:rsidRPr="00ED3988">
                    <w:rPr>
                      <w:rFonts w:eastAsia="MS Mincho"/>
                    </w:rPr>
                    <w:t>20 MHz</w:t>
                  </w:r>
                </w:p>
                <w:p w14:paraId="7E49AAC3" w14:textId="77777777" w:rsidR="00C756A7" w:rsidRPr="00ED3988" w:rsidRDefault="00C756A7" w:rsidP="007F6456">
                  <w:pPr>
                    <w:pStyle w:val="TAH"/>
                    <w:rPr>
                      <w:rFonts w:eastAsia="MS Mincho"/>
                    </w:rPr>
                  </w:pPr>
                  <w:r w:rsidRPr="00ED3988">
                    <w:rPr>
                      <w:rFonts w:eastAsia="MS Mincho"/>
                    </w:rPr>
                    <w:t>(dBm)</w:t>
                  </w:r>
                </w:p>
              </w:tc>
              <w:tc>
                <w:tcPr>
                  <w:tcW w:w="926" w:type="dxa"/>
                  <w:shd w:val="clear" w:color="auto" w:fill="auto"/>
                  <w:vAlign w:val="center"/>
                </w:tcPr>
                <w:p w14:paraId="6B28ED1A" w14:textId="77777777" w:rsidR="00C756A7" w:rsidRPr="00ED3988" w:rsidRDefault="00C756A7" w:rsidP="007F6456">
                  <w:pPr>
                    <w:pStyle w:val="TAH"/>
                    <w:rPr>
                      <w:rFonts w:eastAsia="MS Mincho"/>
                    </w:rPr>
                  </w:pPr>
                  <w:r w:rsidRPr="00ED3988">
                    <w:rPr>
                      <w:rFonts w:eastAsia="MS Mincho"/>
                    </w:rPr>
                    <w:t>Duplex Mode</w:t>
                  </w:r>
                </w:p>
              </w:tc>
            </w:tr>
            <w:tr w:rsidR="00C756A7" w:rsidRPr="00ED3988" w14:paraId="64E786B1" w14:textId="77777777" w:rsidTr="007F6456">
              <w:trPr>
                <w:trHeight w:val="255"/>
              </w:trPr>
              <w:tc>
                <w:tcPr>
                  <w:tcW w:w="925" w:type="dxa"/>
                  <w:shd w:val="clear" w:color="auto" w:fill="auto"/>
                  <w:vAlign w:val="center"/>
                </w:tcPr>
                <w:p w14:paraId="1F67B7CC" w14:textId="77777777" w:rsidR="00C756A7" w:rsidRPr="00ED3988" w:rsidRDefault="00C756A7" w:rsidP="007F6456">
                  <w:pPr>
                    <w:pStyle w:val="TAC"/>
                    <w:rPr>
                      <w:rFonts w:eastAsia="MS Mincho"/>
                      <w:lang w:val="fr-FR" w:eastAsia="ko-KR"/>
                    </w:rPr>
                  </w:pPr>
                  <w:r w:rsidRPr="00ED3988">
                    <w:rPr>
                      <w:rFonts w:eastAsia="MS Mincho"/>
                      <w:lang w:val="fr-FR" w:eastAsia="ko-KR"/>
                    </w:rPr>
                    <w:t>41</w:t>
                  </w:r>
                </w:p>
              </w:tc>
              <w:tc>
                <w:tcPr>
                  <w:tcW w:w="926" w:type="dxa"/>
                  <w:shd w:val="clear" w:color="auto" w:fill="auto"/>
                  <w:vAlign w:val="center"/>
                </w:tcPr>
                <w:p w14:paraId="6902BEDC" w14:textId="77777777" w:rsidR="00C756A7" w:rsidRPr="00ED3988" w:rsidRDefault="00C756A7" w:rsidP="007F6456">
                  <w:pPr>
                    <w:pStyle w:val="TAC"/>
                    <w:rPr>
                      <w:rFonts w:eastAsia="MS Mincho"/>
                      <w:lang w:eastAsia="ko-KR"/>
                    </w:rPr>
                  </w:pPr>
                </w:p>
              </w:tc>
              <w:tc>
                <w:tcPr>
                  <w:tcW w:w="926" w:type="dxa"/>
                  <w:shd w:val="clear" w:color="auto" w:fill="auto"/>
                  <w:vAlign w:val="center"/>
                </w:tcPr>
                <w:p w14:paraId="2960EF24" w14:textId="77777777" w:rsidR="00C756A7" w:rsidRPr="00ED3988" w:rsidRDefault="00C756A7" w:rsidP="007F6456">
                  <w:pPr>
                    <w:pStyle w:val="TAC"/>
                    <w:rPr>
                      <w:rFonts w:eastAsia="MS Mincho"/>
                      <w:lang w:eastAsia="ko-KR"/>
                    </w:rPr>
                  </w:pPr>
                </w:p>
              </w:tc>
              <w:tc>
                <w:tcPr>
                  <w:tcW w:w="926" w:type="dxa"/>
                  <w:shd w:val="clear" w:color="auto" w:fill="auto"/>
                  <w:vAlign w:val="center"/>
                </w:tcPr>
                <w:p w14:paraId="06C2FD2A" w14:textId="77777777" w:rsidR="00C756A7" w:rsidRPr="00ED3988" w:rsidRDefault="00C756A7" w:rsidP="007F6456">
                  <w:pPr>
                    <w:pStyle w:val="TAC"/>
                    <w:rPr>
                      <w:rFonts w:eastAsia="MS Mincho"/>
                      <w:lang w:eastAsia="ko-KR"/>
                    </w:rPr>
                  </w:pPr>
                  <w:r w:rsidRPr="00F814AF">
                    <w:rPr>
                      <w:rFonts w:eastAsia="MS Mincho"/>
                      <w:color w:val="FF0000"/>
                      <w:u w:val="single"/>
                      <w:lang w:eastAsia="ko-KR"/>
                    </w:rPr>
                    <w:t>-99</w:t>
                  </w:r>
                </w:p>
              </w:tc>
              <w:tc>
                <w:tcPr>
                  <w:tcW w:w="925" w:type="dxa"/>
                  <w:shd w:val="clear" w:color="auto" w:fill="auto"/>
                  <w:vAlign w:val="center"/>
                </w:tcPr>
                <w:p w14:paraId="0176F9DF" w14:textId="77777777" w:rsidR="00C756A7" w:rsidRPr="00ED3988" w:rsidRDefault="00C756A7" w:rsidP="007F6456">
                  <w:pPr>
                    <w:pStyle w:val="TAC"/>
                    <w:rPr>
                      <w:rFonts w:eastAsia="MS Mincho"/>
                      <w:lang w:eastAsia="ko-KR"/>
                    </w:rPr>
                  </w:pPr>
                  <w:r w:rsidRPr="00F814AF">
                    <w:rPr>
                      <w:rFonts w:eastAsia="MS Mincho"/>
                      <w:color w:val="FF0000"/>
                      <w:u w:val="single"/>
                      <w:lang w:eastAsia="ko-KR"/>
                    </w:rPr>
                    <w:t>-96</w:t>
                  </w:r>
                </w:p>
              </w:tc>
              <w:tc>
                <w:tcPr>
                  <w:tcW w:w="926" w:type="dxa"/>
                  <w:shd w:val="clear" w:color="auto" w:fill="auto"/>
                  <w:vAlign w:val="center"/>
                </w:tcPr>
                <w:p w14:paraId="4C5C89AC" w14:textId="77777777" w:rsidR="00C756A7" w:rsidRPr="00ED3988" w:rsidRDefault="00C756A7" w:rsidP="007F6456">
                  <w:pPr>
                    <w:pStyle w:val="TAC"/>
                    <w:rPr>
                      <w:rFonts w:eastAsia="MS Mincho"/>
                      <w:lang w:eastAsia="ko-KR"/>
                    </w:rPr>
                  </w:pPr>
                  <w:r w:rsidRPr="00F814AF">
                    <w:rPr>
                      <w:rFonts w:eastAsia="MS Mincho"/>
                      <w:color w:val="FF0000"/>
                      <w:u w:val="single"/>
                      <w:lang w:eastAsia="ko-KR"/>
                    </w:rPr>
                    <w:t>-94.2</w:t>
                  </w:r>
                </w:p>
              </w:tc>
              <w:tc>
                <w:tcPr>
                  <w:tcW w:w="926" w:type="dxa"/>
                  <w:shd w:val="clear" w:color="auto" w:fill="auto"/>
                  <w:vAlign w:val="center"/>
                </w:tcPr>
                <w:p w14:paraId="151A6507" w14:textId="77777777" w:rsidR="00C756A7" w:rsidRPr="00ED3988" w:rsidRDefault="00C756A7" w:rsidP="007F6456">
                  <w:pPr>
                    <w:pStyle w:val="TAC"/>
                    <w:rPr>
                      <w:rFonts w:eastAsia="MS Mincho"/>
                      <w:lang w:eastAsia="ko-KR"/>
                    </w:rPr>
                  </w:pPr>
                  <w:r w:rsidRPr="00F814AF">
                    <w:rPr>
                      <w:rFonts w:eastAsia="MS Mincho"/>
                      <w:color w:val="FF0000"/>
                      <w:u w:val="single"/>
                      <w:lang w:eastAsia="ko-KR"/>
                    </w:rPr>
                    <w:t>-93</w:t>
                  </w:r>
                </w:p>
              </w:tc>
              <w:tc>
                <w:tcPr>
                  <w:tcW w:w="926" w:type="dxa"/>
                  <w:shd w:val="clear" w:color="auto" w:fill="auto"/>
                  <w:vAlign w:val="center"/>
                </w:tcPr>
                <w:p w14:paraId="30A27ECF" w14:textId="77777777" w:rsidR="00C756A7" w:rsidRPr="00ED3988" w:rsidRDefault="00C756A7" w:rsidP="007F6456">
                  <w:pPr>
                    <w:pStyle w:val="TAC"/>
                    <w:rPr>
                      <w:rFonts w:eastAsia="MS Mincho"/>
                      <w:lang w:eastAsia="ko-KR"/>
                    </w:rPr>
                  </w:pPr>
                  <w:r w:rsidRPr="00ED3988">
                    <w:rPr>
                      <w:rFonts w:eastAsia="MS Mincho"/>
                      <w:lang w:eastAsia="ko-KR"/>
                    </w:rPr>
                    <w:t>TDD</w:t>
                  </w:r>
                </w:p>
              </w:tc>
            </w:tr>
          </w:tbl>
          <w:p w14:paraId="212716AF" w14:textId="77777777" w:rsidR="00C756A7" w:rsidRPr="00ED3988" w:rsidRDefault="00C756A7" w:rsidP="007F6456">
            <w:pPr>
              <w:jc w:val="both"/>
              <w:rPr>
                <w:rFonts w:eastAsia="SimSun"/>
                <w:color w:val="000000"/>
                <w:lang w:eastAsia="zh-CN"/>
              </w:rPr>
            </w:pPr>
          </w:p>
          <w:p w14:paraId="739DFE01" w14:textId="77777777" w:rsidR="00C756A7" w:rsidRDefault="00C756A7" w:rsidP="007F6456">
            <w:r>
              <w:rPr>
                <w:rFonts w:eastAsia="SimSun"/>
                <w:lang w:eastAsia="zh-CN"/>
              </w:rPr>
              <w:t>In</w:t>
            </w:r>
            <w:r w:rsidRPr="00E40051">
              <w:rPr>
                <w:rFonts w:eastAsia="SimSun"/>
                <w:lang w:eastAsia="zh-CN"/>
              </w:rPr>
              <w:t xml:space="preserve"> </w:t>
            </w:r>
            <w:r>
              <w:rPr>
                <w:rFonts w:eastAsia="SimSun"/>
                <w:lang w:eastAsia="zh-CN"/>
              </w:rPr>
              <w:t xml:space="preserve">consideration of </w:t>
            </w:r>
            <w:r w:rsidRPr="00E40051">
              <w:rPr>
                <w:rFonts w:eastAsia="SimSun"/>
                <w:lang w:eastAsia="zh-CN"/>
              </w:rPr>
              <w:t>stringent filtering requirement</w:t>
            </w:r>
            <w:r>
              <w:rPr>
                <w:rFonts w:eastAsia="SimSun"/>
                <w:lang w:eastAsia="zh-CN"/>
              </w:rPr>
              <w:t>s</w:t>
            </w:r>
            <w:r w:rsidRPr="00E40051">
              <w:rPr>
                <w:rFonts w:eastAsia="SimSun"/>
                <w:lang w:eastAsia="zh-CN"/>
              </w:rPr>
              <w:t xml:space="preserve"> for in-device ISM coexistence, </w:t>
            </w:r>
            <w:r>
              <w:rPr>
                <w:rFonts w:eastAsia="SimSun"/>
                <w:lang w:eastAsia="zh-CN"/>
              </w:rPr>
              <w:t xml:space="preserve">1dB reference sensitivity relaxation is proposed for a Band 41 UE and the reference sensitivity level of Band 41 is thus updated accordingly in </w:t>
            </w:r>
            <w:r w:rsidRPr="00E40051">
              <w:rPr>
                <w:rFonts w:eastAsia="SimSun"/>
                <w:lang w:eastAsia="zh-CN"/>
              </w:rPr>
              <w:t>Table 7.3.1-1 in TS 36.101</w:t>
            </w:r>
            <w:r w:rsidRPr="00461195">
              <w:rPr>
                <w:rFonts w:eastAsia="SimSun"/>
                <w:lang w:eastAsia="zh-CN"/>
              </w:rPr>
              <w:t xml:space="preserve">. </w:t>
            </w:r>
            <w:r w:rsidRPr="00461195">
              <w:t>However, no explicit requirement for ISM coexistence or for filter rejection performance is specified by 3GPP. Yet, it is worth noting that the minimum performance specification for refere</w:t>
            </w:r>
            <w:r>
              <w:t>nce sensitivity may be exceeded.</w:t>
            </w:r>
            <w:r w:rsidRPr="00461195">
              <w:t xml:space="preserve"> </w:t>
            </w:r>
            <w:proofErr w:type="gramStart"/>
            <w:r w:rsidRPr="00441A8B">
              <w:t>In particular, for</w:t>
            </w:r>
            <w:proofErr w:type="gramEnd"/>
            <w:r w:rsidRPr="00441A8B">
              <w:t xml:space="preserve"> devices which are not required to facilitate in-device ISM coexist</w:t>
            </w:r>
            <w:r>
              <w:t>ence, the sensitivity level could</w:t>
            </w:r>
            <w:r w:rsidRPr="00441A8B">
              <w:t xml:space="preserve"> be 1 dB</w:t>
            </w:r>
            <w:r>
              <w:t xml:space="preserve"> better.</w:t>
            </w:r>
          </w:p>
        </w:tc>
      </w:tr>
    </w:tbl>
    <w:p w14:paraId="4EA4597E" w14:textId="77777777" w:rsidR="00C756A7" w:rsidRDefault="00C756A7" w:rsidP="00C756A7"/>
    <w:p w14:paraId="120A1E07" w14:textId="77777777" w:rsidR="00C756A7" w:rsidRDefault="00C756A7" w:rsidP="00C756A7">
      <w:r>
        <w:lastRenderedPageBreak/>
        <w:t xml:space="preserve">We note that the REFSENS value for B41 in TR36.812 did not fully account for this relaxation, and the eventual REFSENS requirement in TS36.101 was further relaxed by 1 </w:t>
      </w:r>
      <w:proofErr w:type="spellStart"/>
      <w:r>
        <w:t>dB.</w:t>
      </w:r>
      <w:proofErr w:type="spellEnd"/>
      <w:r>
        <w:t xml:space="preserve">  Thus, B41/n41 REFSENS implementation margin includes the 2.5 dB baseline contribution plus 2 dB filter insertion loss for coexistence with ISM.  Finally, we note that band n7 is the only FDD band in the list of mandatory 4Rx bands.  For FDD bands the IM for REFSENS also accounts for Tx noise impact.</w:t>
      </w:r>
    </w:p>
    <w:p w14:paraId="10B3A9C5" w14:textId="77777777" w:rsidR="00C756A7" w:rsidRDefault="00C756A7" w:rsidP="006B7323"/>
    <w:p w14:paraId="708FB1A9" w14:textId="143B0620" w:rsidR="0072574E" w:rsidRDefault="001F6265" w:rsidP="006B7323">
      <w:r>
        <w:t xml:space="preserve">Figure 1 below illustrates the </w:t>
      </w:r>
      <w:r w:rsidR="00265CE9">
        <w:t xml:space="preserve">NF and IM </w:t>
      </w:r>
      <w:r>
        <w:t>assumptions across the 4Rx mandatory bands.</w:t>
      </w:r>
    </w:p>
    <w:p w14:paraId="3F38E43F" w14:textId="77777777" w:rsidR="001F6265" w:rsidRDefault="001F6265" w:rsidP="006B7323"/>
    <w:p w14:paraId="72B1641E" w14:textId="19D303FB" w:rsidR="001F6265" w:rsidRDefault="001F6265" w:rsidP="001F6265">
      <w:pPr>
        <w:jc w:val="center"/>
      </w:pPr>
      <w:r w:rsidRPr="0034688C">
        <w:rPr>
          <w:noProof/>
        </w:rPr>
        <w:drawing>
          <wp:inline distT="0" distB="0" distL="0" distR="0" wp14:anchorId="48490B8D" wp14:editId="10C23345">
            <wp:extent cx="4572000" cy="3429119"/>
            <wp:effectExtent l="0" t="0" r="0" b="0"/>
            <wp:docPr id="1689974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974910" name=""/>
                    <pic:cNvPicPr/>
                  </pic:nvPicPr>
                  <pic:blipFill>
                    <a:blip r:embed="rId10"/>
                    <a:stretch>
                      <a:fillRect/>
                    </a:stretch>
                  </pic:blipFill>
                  <pic:spPr>
                    <a:xfrm>
                      <a:off x="0" y="0"/>
                      <a:ext cx="4572000" cy="3429119"/>
                    </a:xfrm>
                    <a:prstGeom prst="rect">
                      <a:avLst/>
                    </a:prstGeom>
                  </pic:spPr>
                </pic:pic>
              </a:graphicData>
            </a:graphic>
          </wp:inline>
        </w:drawing>
      </w:r>
    </w:p>
    <w:p w14:paraId="1A5ACCF6" w14:textId="1EB62EC7" w:rsidR="001F6265" w:rsidRDefault="001F6265" w:rsidP="001F6265">
      <w:pPr>
        <w:pStyle w:val="TF"/>
      </w:pPr>
      <w:r>
        <w:t>Figure 1: REFSENS impairments for mandatory 4Rx bands</w:t>
      </w:r>
    </w:p>
    <w:p w14:paraId="7643F4D9" w14:textId="79C428EE" w:rsidR="00E339C0" w:rsidRDefault="00E339C0" w:rsidP="006B7323">
      <w:r>
        <w:t xml:space="preserve">When 3GPP introduced requirements for 4Rx </w:t>
      </w:r>
      <w:r w:rsidR="00AA489A">
        <w:t xml:space="preserve">LTE </w:t>
      </w:r>
      <w:r>
        <w:t xml:space="preserve">UEs, the assumption of the diversity gain (from 2Rx to 4Rx) was revisited and defined as a band-dependent quantity in general.  For mid-bands and high bands this factor was agreed to be 2.7 dB, while for ultra-high bands it was reduced to 2.2 dB to accommodate </w:t>
      </w:r>
      <w:r w:rsidR="00B77F69">
        <w:t xml:space="preserve">additional </w:t>
      </w:r>
      <w:r>
        <w:t xml:space="preserve">RF </w:t>
      </w:r>
      <w:r w:rsidR="00B77F69">
        <w:t xml:space="preserve">front end </w:t>
      </w:r>
      <w:r>
        <w:t>impairments</w:t>
      </w:r>
      <w:r w:rsidR="00F01F6C">
        <w:t xml:space="preserve"> </w:t>
      </w:r>
      <w:r w:rsidR="00F01F6C">
        <w:fldChar w:fldCharType="begin"/>
      </w:r>
      <w:r w:rsidR="00F01F6C">
        <w:instrText xml:space="preserve"> REF _Ref157669072 \r \h </w:instrText>
      </w:r>
      <w:r w:rsidR="00F01F6C">
        <w:fldChar w:fldCharType="separate"/>
      </w:r>
      <w:r w:rsidR="00632C1E">
        <w:t>[4]</w:t>
      </w:r>
      <w:r w:rsidR="00F01F6C">
        <w:fldChar w:fldCharType="end"/>
      </w:r>
      <w:r w:rsidR="00F01F6C">
        <w:t>:</w:t>
      </w:r>
    </w:p>
    <w:p w14:paraId="4C2364B6" w14:textId="77777777" w:rsidR="00F01F6C" w:rsidRDefault="00F01F6C" w:rsidP="006B7323"/>
    <w:tbl>
      <w:tblPr>
        <w:tblStyle w:val="TableGrid"/>
        <w:tblW w:w="0" w:type="auto"/>
        <w:tblLook w:val="04A0" w:firstRow="1" w:lastRow="0" w:firstColumn="1" w:lastColumn="0" w:noHBand="0" w:noVBand="1"/>
      </w:tblPr>
      <w:tblGrid>
        <w:gridCol w:w="9631"/>
      </w:tblGrid>
      <w:tr w:rsidR="00F01F6C" w14:paraId="7FBCB560" w14:textId="77777777" w:rsidTr="00F01F6C">
        <w:tc>
          <w:tcPr>
            <w:tcW w:w="9631" w:type="dxa"/>
          </w:tcPr>
          <w:p w14:paraId="4728B536" w14:textId="509AF14D" w:rsidR="00F01F6C" w:rsidRDefault="00F01F6C" w:rsidP="006B7323">
            <w:r w:rsidRPr="00F01F6C">
              <w:rPr>
                <w:noProof/>
              </w:rPr>
              <w:drawing>
                <wp:inline distT="0" distB="0" distL="0" distR="0" wp14:anchorId="6327F036" wp14:editId="0E372E46">
                  <wp:extent cx="6122035" cy="1609090"/>
                  <wp:effectExtent l="0" t="0" r="0" b="3810"/>
                  <wp:docPr id="1732367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367195" name=""/>
                          <pic:cNvPicPr/>
                        </pic:nvPicPr>
                        <pic:blipFill>
                          <a:blip r:embed="rId11"/>
                          <a:stretch>
                            <a:fillRect/>
                          </a:stretch>
                        </pic:blipFill>
                        <pic:spPr>
                          <a:xfrm>
                            <a:off x="0" y="0"/>
                            <a:ext cx="6122035" cy="1609090"/>
                          </a:xfrm>
                          <a:prstGeom prst="rect">
                            <a:avLst/>
                          </a:prstGeom>
                        </pic:spPr>
                      </pic:pic>
                    </a:graphicData>
                  </a:graphic>
                </wp:inline>
              </w:drawing>
            </w:r>
          </w:p>
        </w:tc>
      </w:tr>
    </w:tbl>
    <w:p w14:paraId="4ED13012" w14:textId="77777777" w:rsidR="00E339C0" w:rsidRDefault="00E339C0" w:rsidP="006B7323"/>
    <w:p w14:paraId="7DDF1D92" w14:textId="340B9C1D" w:rsidR="00E91ED8" w:rsidRDefault="00E339C0" w:rsidP="006B7323">
      <w:r>
        <w:t xml:space="preserve">Figure </w:t>
      </w:r>
      <w:r w:rsidR="00E75436">
        <w:t>2 below</w:t>
      </w:r>
      <w:r>
        <w:t xml:space="preserve"> plots REFSENS </w:t>
      </w:r>
      <w:r w:rsidR="00B702AA">
        <w:t xml:space="preserve">for </w:t>
      </w:r>
      <w:r>
        <w:t>an example SCS/CBW configuration (10 MHz / 30 kHz)</w:t>
      </w:r>
      <w:r w:rsidR="00EE518E">
        <w:t>.</w:t>
      </w:r>
    </w:p>
    <w:p w14:paraId="06535365" w14:textId="77777777" w:rsidR="00EE518E" w:rsidRDefault="00EE518E" w:rsidP="006B7323"/>
    <w:p w14:paraId="7A5FFC8D" w14:textId="04EE779D" w:rsidR="00EE518E" w:rsidRDefault="00EE518E" w:rsidP="00EE518E">
      <w:pPr>
        <w:jc w:val="center"/>
      </w:pPr>
      <w:r w:rsidRPr="00162935">
        <w:rPr>
          <w:noProof/>
        </w:rPr>
        <w:lastRenderedPageBreak/>
        <w:drawing>
          <wp:inline distT="0" distB="0" distL="0" distR="0" wp14:anchorId="39C84A80" wp14:editId="53DEE685">
            <wp:extent cx="2743200" cy="2057471"/>
            <wp:effectExtent l="0" t="0" r="0" b="0"/>
            <wp:docPr id="369712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634839" name=""/>
                    <pic:cNvPicPr/>
                  </pic:nvPicPr>
                  <pic:blipFill>
                    <a:blip r:embed="rId12"/>
                    <a:stretch>
                      <a:fillRect/>
                    </a:stretch>
                  </pic:blipFill>
                  <pic:spPr>
                    <a:xfrm>
                      <a:off x="0" y="0"/>
                      <a:ext cx="2743200" cy="2057471"/>
                    </a:xfrm>
                    <a:prstGeom prst="rect">
                      <a:avLst/>
                    </a:prstGeom>
                  </pic:spPr>
                </pic:pic>
              </a:graphicData>
            </a:graphic>
          </wp:inline>
        </w:drawing>
      </w:r>
    </w:p>
    <w:p w14:paraId="4F689F56" w14:textId="72D5E367" w:rsidR="00EE518E" w:rsidRDefault="00EE518E" w:rsidP="00EE518E">
      <w:pPr>
        <w:pStyle w:val="TF"/>
      </w:pPr>
      <w:r>
        <w:t>Figure 2: Summary of REFSENS for mandatory 4Rx bands (CBW=10 MHz, SCS=30 kHz)</w:t>
      </w:r>
    </w:p>
    <w:p w14:paraId="57B7B85F" w14:textId="1EA1D2E1" w:rsidR="00EE518E" w:rsidRDefault="008D1464" w:rsidP="006B7323">
      <w:r>
        <w:t>Figure 3 below provides the complete view of all REFSENS requirements across the applicable CBWs and SCS.</w:t>
      </w:r>
    </w:p>
    <w:p w14:paraId="093B5059" w14:textId="77777777" w:rsidR="006249EC" w:rsidRDefault="006249EC" w:rsidP="006B7323"/>
    <w:p w14:paraId="1C99898A" w14:textId="71DC93AA" w:rsidR="00A704FD" w:rsidRDefault="00314DEF" w:rsidP="00A704FD">
      <w:pPr>
        <w:jc w:val="center"/>
      </w:pPr>
      <w:r>
        <w:rPr>
          <w:noProof/>
        </w:rPr>
        <w:t>a)</w:t>
      </w:r>
      <w:r w:rsidRPr="00314DEF">
        <w:rPr>
          <w:noProof/>
        </w:rPr>
        <w:t xml:space="preserve"> </w:t>
      </w:r>
      <w:r w:rsidR="00BD716B" w:rsidRPr="00BD716B">
        <w:rPr>
          <w:noProof/>
        </w:rPr>
        <w:drawing>
          <wp:inline distT="0" distB="0" distL="0" distR="0" wp14:anchorId="3619DC9D" wp14:editId="48A29A37">
            <wp:extent cx="2743200" cy="2057471"/>
            <wp:effectExtent l="0" t="0" r="0" b="0"/>
            <wp:docPr id="650391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391758" name=""/>
                    <pic:cNvPicPr/>
                  </pic:nvPicPr>
                  <pic:blipFill>
                    <a:blip r:embed="rId13"/>
                    <a:stretch>
                      <a:fillRect/>
                    </a:stretch>
                  </pic:blipFill>
                  <pic:spPr>
                    <a:xfrm>
                      <a:off x="0" y="0"/>
                      <a:ext cx="2743200" cy="2057471"/>
                    </a:xfrm>
                    <a:prstGeom prst="rect">
                      <a:avLst/>
                    </a:prstGeom>
                  </pic:spPr>
                </pic:pic>
              </a:graphicData>
            </a:graphic>
          </wp:inline>
        </w:drawing>
      </w:r>
      <w:r>
        <w:rPr>
          <w:noProof/>
        </w:rPr>
        <w:t>b</w:t>
      </w:r>
      <w:r w:rsidR="003C366F">
        <w:rPr>
          <w:noProof/>
        </w:rPr>
        <w:t>)</w:t>
      </w:r>
      <w:r w:rsidR="003C4BED" w:rsidRPr="003C4BED">
        <w:rPr>
          <w:noProof/>
        </w:rPr>
        <w:t xml:space="preserve"> </w:t>
      </w:r>
      <w:r w:rsidR="00A704FD" w:rsidRPr="00A704FD">
        <w:rPr>
          <w:noProof/>
        </w:rPr>
        <w:drawing>
          <wp:inline distT="0" distB="0" distL="0" distR="0" wp14:anchorId="2682F593" wp14:editId="7CAB259A">
            <wp:extent cx="2743200" cy="2057471"/>
            <wp:effectExtent l="0" t="0" r="0" b="0"/>
            <wp:docPr id="535031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031374" name=""/>
                    <pic:cNvPicPr/>
                  </pic:nvPicPr>
                  <pic:blipFill>
                    <a:blip r:embed="rId14"/>
                    <a:stretch>
                      <a:fillRect/>
                    </a:stretch>
                  </pic:blipFill>
                  <pic:spPr>
                    <a:xfrm>
                      <a:off x="0" y="0"/>
                      <a:ext cx="2743200" cy="2057471"/>
                    </a:xfrm>
                    <a:prstGeom prst="rect">
                      <a:avLst/>
                    </a:prstGeom>
                  </pic:spPr>
                </pic:pic>
              </a:graphicData>
            </a:graphic>
          </wp:inline>
        </w:drawing>
      </w:r>
      <w:r w:rsidR="004E7CE9">
        <w:rPr>
          <w:noProof/>
        </w:rPr>
        <w:br/>
      </w:r>
      <w:r>
        <w:t xml:space="preserve">c) </w:t>
      </w:r>
      <w:r w:rsidR="00A704FD" w:rsidRPr="00A704FD">
        <w:rPr>
          <w:noProof/>
        </w:rPr>
        <w:drawing>
          <wp:inline distT="0" distB="0" distL="0" distR="0" wp14:anchorId="5A29FD2A" wp14:editId="73C61733">
            <wp:extent cx="2743200" cy="2057471"/>
            <wp:effectExtent l="0" t="0" r="0" b="0"/>
            <wp:docPr id="2105671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671686" name=""/>
                    <pic:cNvPicPr/>
                  </pic:nvPicPr>
                  <pic:blipFill>
                    <a:blip r:embed="rId15"/>
                    <a:stretch>
                      <a:fillRect/>
                    </a:stretch>
                  </pic:blipFill>
                  <pic:spPr>
                    <a:xfrm>
                      <a:off x="0" y="0"/>
                      <a:ext cx="2743200" cy="2057471"/>
                    </a:xfrm>
                    <a:prstGeom prst="rect">
                      <a:avLst/>
                    </a:prstGeom>
                  </pic:spPr>
                </pic:pic>
              </a:graphicData>
            </a:graphic>
          </wp:inline>
        </w:drawing>
      </w:r>
      <w:r>
        <w:t xml:space="preserve">d) </w:t>
      </w:r>
      <w:r w:rsidR="00A704FD" w:rsidRPr="00A704FD">
        <w:rPr>
          <w:noProof/>
        </w:rPr>
        <w:drawing>
          <wp:inline distT="0" distB="0" distL="0" distR="0" wp14:anchorId="79FAAEEF" wp14:editId="4854C378">
            <wp:extent cx="2743200" cy="2057471"/>
            <wp:effectExtent l="0" t="0" r="0" b="0"/>
            <wp:docPr id="6924239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423950" name=""/>
                    <pic:cNvPicPr/>
                  </pic:nvPicPr>
                  <pic:blipFill>
                    <a:blip r:embed="rId16"/>
                    <a:stretch>
                      <a:fillRect/>
                    </a:stretch>
                  </pic:blipFill>
                  <pic:spPr>
                    <a:xfrm>
                      <a:off x="0" y="0"/>
                      <a:ext cx="2743200" cy="2057471"/>
                    </a:xfrm>
                    <a:prstGeom prst="rect">
                      <a:avLst/>
                    </a:prstGeom>
                  </pic:spPr>
                </pic:pic>
              </a:graphicData>
            </a:graphic>
          </wp:inline>
        </w:drawing>
      </w:r>
      <w:r w:rsidR="004E7CE9">
        <w:br/>
      </w:r>
      <w:r>
        <w:lastRenderedPageBreak/>
        <w:t>e)</w:t>
      </w:r>
      <w:r w:rsidR="003C4BED" w:rsidRPr="003C4BED">
        <w:rPr>
          <w:noProof/>
        </w:rPr>
        <w:t xml:space="preserve"> </w:t>
      </w:r>
      <w:r w:rsidR="00A704FD" w:rsidRPr="00A704FD">
        <w:rPr>
          <w:noProof/>
        </w:rPr>
        <w:drawing>
          <wp:inline distT="0" distB="0" distL="0" distR="0" wp14:anchorId="0A9E5973" wp14:editId="041AE6E1">
            <wp:extent cx="2743200" cy="2057471"/>
            <wp:effectExtent l="0" t="0" r="0" b="0"/>
            <wp:docPr id="937294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294816" name=""/>
                    <pic:cNvPicPr/>
                  </pic:nvPicPr>
                  <pic:blipFill>
                    <a:blip r:embed="rId17"/>
                    <a:stretch>
                      <a:fillRect/>
                    </a:stretch>
                  </pic:blipFill>
                  <pic:spPr>
                    <a:xfrm>
                      <a:off x="0" y="0"/>
                      <a:ext cx="2743200" cy="2057471"/>
                    </a:xfrm>
                    <a:prstGeom prst="rect">
                      <a:avLst/>
                    </a:prstGeom>
                  </pic:spPr>
                </pic:pic>
              </a:graphicData>
            </a:graphic>
          </wp:inline>
        </w:drawing>
      </w:r>
      <w:r>
        <w:t xml:space="preserve"> f) </w:t>
      </w:r>
      <w:r w:rsidR="00A704FD" w:rsidRPr="00A704FD">
        <w:rPr>
          <w:noProof/>
        </w:rPr>
        <w:drawing>
          <wp:inline distT="0" distB="0" distL="0" distR="0" wp14:anchorId="4D95AEE2" wp14:editId="47B9586E">
            <wp:extent cx="2743200" cy="2057471"/>
            <wp:effectExtent l="0" t="0" r="0" b="0"/>
            <wp:docPr id="1782870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870370" name=""/>
                    <pic:cNvPicPr/>
                  </pic:nvPicPr>
                  <pic:blipFill>
                    <a:blip r:embed="rId18"/>
                    <a:stretch>
                      <a:fillRect/>
                    </a:stretch>
                  </pic:blipFill>
                  <pic:spPr>
                    <a:xfrm>
                      <a:off x="0" y="0"/>
                      <a:ext cx="2743200" cy="2057471"/>
                    </a:xfrm>
                    <a:prstGeom prst="rect">
                      <a:avLst/>
                    </a:prstGeom>
                  </pic:spPr>
                </pic:pic>
              </a:graphicData>
            </a:graphic>
          </wp:inline>
        </w:drawing>
      </w:r>
      <w:r w:rsidR="00A704FD">
        <w:br/>
        <w:t xml:space="preserve">g) </w:t>
      </w:r>
      <w:r w:rsidR="00A704FD" w:rsidRPr="00A704FD">
        <w:rPr>
          <w:noProof/>
        </w:rPr>
        <w:drawing>
          <wp:inline distT="0" distB="0" distL="0" distR="0" wp14:anchorId="3087DE79" wp14:editId="602D115C">
            <wp:extent cx="2743200" cy="2057471"/>
            <wp:effectExtent l="0" t="0" r="0" b="0"/>
            <wp:docPr id="1993320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320638" name=""/>
                    <pic:cNvPicPr/>
                  </pic:nvPicPr>
                  <pic:blipFill>
                    <a:blip r:embed="rId19"/>
                    <a:stretch>
                      <a:fillRect/>
                    </a:stretch>
                  </pic:blipFill>
                  <pic:spPr>
                    <a:xfrm>
                      <a:off x="0" y="0"/>
                      <a:ext cx="2743200" cy="2057471"/>
                    </a:xfrm>
                    <a:prstGeom prst="rect">
                      <a:avLst/>
                    </a:prstGeom>
                  </pic:spPr>
                </pic:pic>
              </a:graphicData>
            </a:graphic>
          </wp:inline>
        </w:drawing>
      </w:r>
    </w:p>
    <w:p w14:paraId="19A4977B" w14:textId="5FA69A08" w:rsidR="003C4BED" w:rsidRDefault="006249EC" w:rsidP="003C4BED">
      <w:pPr>
        <w:pStyle w:val="TF"/>
      </w:pPr>
      <w:r>
        <w:t xml:space="preserve">Figure </w:t>
      </w:r>
      <w:r w:rsidR="005B13CD">
        <w:t>3</w:t>
      </w:r>
      <w:r>
        <w:t xml:space="preserve">: </w:t>
      </w:r>
      <w:r w:rsidR="00A7499B">
        <w:t>REFSENS</w:t>
      </w:r>
      <w:r w:rsidR="008D56C7">
        <w:t xml:space="preserve"> vs CBW</w:t>
      </w:r>
      <w:r w:rsidR="00A7499B">
        <w:t xml:space="preserve"> for</w:t>
      </w:r>
      <w:r w:rsidR="003C4BED">
        <w:t xml:space="preserve"> mandatory 4Rx bands</w:t>
      </w:r>
    </w:p>
    <w:p w14:paraId="7DF616B4" w14:textId="77777777" w:rsidR="003C4BED" w:rsidRDefault="003C4BED" w:rsidP="003C4BED"/>
    <w:p w14:paraId="6A51473C" w14:textId="5FB35D5B" w:rsidR="00BF1C7D" w:rsidRDefault="00C8270F" w:rsidP="006B7323">
      <w:r>
        <w:t xml:space="preserve">Table 1 below summarizes the relevant parameters </w:t>
      </w:r>
      <w:r w:rsidR="00AC1732">
        <w:t>which impact the REFSENS definition (without loss of generality, the example is provided for 30 kHz SCS and 10 MHz CBW).</w:t>
      </w:r>
    </w:p>
    <w:p w14:paraId="40E00AAA" w14:textId="77777777" w:rsidR="00BF1C7D" w:rsidRDefault="00BF1C7D" w:rsidP="006B7323"/>
    <w:p w14:paraId="0E66539F" w14:textId="77777777" w:rsidR="00BF1C7D" w:rsidRDefault="00BF1C7D" w:rsidP="00BF1C7D">
      <w:pPr>
        <w:pStyle w:val="TH"/>
      </w:pPr>
      <w:r>
        <w:t>Table 1: Summary of relevant parameters</w:t>
      </w:r>
    </w:p>
    <w:tbl>
      <w:tblPr>
        <w:tblStyle w:val="TableGrid"/>
        <w:tblW w:w="0" w:type="auto"/>
        <w:jc w:val="center"/>
        <w:tblLook w:val="04A0" w:firstRow="1" w:lastRow="0" w:firstColumn="1" w:lastColumn="0" w:noHBand="0" w:noVBand="1"/>
      </w:tblPr>
      <w:tblGrid>
        <w:gridCol w:w="1094"/>
        <w:gridCol w:w="925"/>
        <w:gridCol w:w="1011"/>
        <w:gridCol w:w="1285"/>
        <w:gridCol w:w="1350"/>
        <w:gridCol w:w="1440"/>
      </w:tblGrid>
      <w:tr w:rsidR="00D93361" w14:paraId="5499CD75" w14:textId="77777777" w:rsidTr="00A06573">
        <w:trPr>
          <w:jc w:val="center"/>
        </w:trPr>
        <w:tc>
          <w:tcPr>
            <w:tcW w:w="1094" w:type="dxa"/>
            <w:vMerge w:val="restart"/>
          </w:tcPr>
          <w:p w14:paraId="06A2C492" w14:textId="77777777" w:rsidR="00D93361" w:rsidRPr="00DC371D" w:rsidRDefault="00D93361" w:rsidP="00CF2DC8">
            <w:pPr>
              <w:pStyle w:val="TH"/>
            </w:pPr>
            <w:r>
              <w:t>Band</w:t>
            </w:r>
          </w:p>
        </w:tc>
        <w:tc>
          <w:tcPr>
            <w:tcW w:w="925" w:type="dxa"/>
            <w:vMerge w:val="restart"/>
          </w:tcPr>
          <w:p w14:paraId="2D5BC54B" w14:textId="77777777" w:rsidR="00D93361" w:rsidRDefault="00D93361" w:rsidP="00CF2DC8">
            <w:pPr>
              <w:pStyle w:val="TH"/>
            </w:pPr>
            <w:r>
              <w:t>NF (dB)</w:t>
            </w:r>
          </w:p>
        </w:tc>
        <w:tc>
          <w:tcPr>
            <w:tcW w:w="1011" w:type="dxa"/>
            <w:vMerge w:val="restart"/>
          </w:tcPr>
          <w:p w14:paraId="34ACA730" w14:textId="77777777" w:rsidR="00D93361" w:rsidRDefault="00D93361" w:rsidP="00CF2DC8">
            <w:pPr>
              <w:pStyle w:val="TH"/>
            </w:pPr>
            <w:r>
              <w:t>IM (dB)</w:t>
            </w:r>
          </w:p>
        </w:tc>
        <w:tc>
          <w:tcPr>
            <w:tcW w:w="4075" w:type="dxa"/>
            <w:gridSpan w:val="3"/>
          </w:tcPr>
          <w:p w14:paraId="5E96A737" w14:textId="77777777" w:rsidR="00D93361" w:rsidRDefault="00D93361" w:rsidP="00CF2DC8">
            <w:pPr>
              <w:pStyle w:val="TH"/>
            </w:pPr>
            <w:r>
              <w:t>REFSENS (30 kHz SCS, 10 MHz)</w:t>
            </w:r>
          </w:p>
        </w:tc>
      </w:tr>
      <w:tr w:rsidR="00D93361" w14:paraId="6B5DE1B6" w14:textId="77777777" w:rsidTr="00A06573">
        <w:trPr>
          <w:jc w:val="center"/>
        </w:trPr>
        <w:tc>
          <w:tcPr>
            <w:tcW w:w="1094" w:type="dxa"/>
            <w:vMerge/>
          </w:tcPr>
          <w:p w14:paraId="2B6BF199" w14:textId="77777777" w:rsidR="00D93361" w:rsidRDefault="00D93361" w:rsidP="00CF2DC8">
            <w:pPr>
              <w:pStyle w:val="TH"/>
            </w:pPr>
          </w:p>
        </w:tc>
        <w:tc>
          <w:tcPr>
            <w:tcW w:w="925" w:type="dxa"/>
            <w:vMerge/>
          </w:tcPr>
          <w:p w14:paraId="67204A3B" w14:textId="77777777" w:rsidR="00D93361" w:rsidRDefault="00D93361" w:rsidP="00CF2DC8">
            <w:pPr>
              <w:pStyle w:val="TH"/>
            </w:pPr>
          </w:p>
        </w:tc>
        <w:tc>
          <w:tcPr>
            <w:tcW w:w="1011" w:type="dxa"/>
            <w:vMerge/>
          </w:tcPr>
          <w:p w14:paraId="5CCC967E" w14:textId="77777777" w:rsidR="00D93361" w:rsidRDefault="00D93361" w:rsidP="00CF2DC8">
            <w:pPr>
              <w:pStyle w:val="TH"/>
            </w:pPr>
          </w:p>
        </w:tc>
        <w:tc>
          <w:tcPr>
            <w:tcW w:w="1285" w:type="dxa"/>
          </w:tcPr>
          <w:p w14:paraId="2FB6508B" w14:textId="77777777" w:rsidR="00D93361" w:rsidRDefault="00D93361" w:rsidP="00CF2DC8">
            <w:pPr>
              <w:pStyle w:val="TH"/>
            </w:pPr>
            <w:r>
              <w:t>2Rx (dBm)</w:t>
            </w:r>
          </w:p>
        </w:tc>
        <w:tc>
          <w:tcPr>
            <w:tcW w:w="1350" w:type="dxa"/>
          </w:tcPr>
          <w:p w14:paraId="003CA623" w14:textId="11FD748D" w:rsidR="00D93361" w:rsidRDefault="00D93361" w:rsidP="00CF2DC8">
            <w:pPr>
              <w:pStyle w:val="TH"/>
            </w:pPr>
            <w:r>
              <w:t>∆R</w:t>
            </w:r>
            <w:r w:rsidRPr="00322AC0">
              <w:rPr>
                <w:vertAlign w:val="subscript"/>
              </w:rPr>
              <w:t>IB,4R</w:t>
            </w:r>
            <w:r>
              <w:t>(dB)</w:t>
            </w:r>
          </w:p>
        </w:tc>
        <w:tc>
          <w:tcPr>
            <w:tcW w:w="1440" w:type="dxa"/>
          </w:tcPr>
          <w:p w14:paraId="31BE44B0" w14:textId="77777777" w:rsidR="00D93361" w:rsidRDefault="00D93361" w:rsidP="00CF2DC8">
            <w:pPr>
              <w:pStyle w:val="TH"/>
            </w:pPr>
            <w:r>
              <w:t>4Rx (dBm)</w:t>
            </w:r>
          </w:p>
        </w:tc>
      </w:tr>
      <w:tr w:rsidR="00BF1C7D" w14:paraId="4A9FB7AC" w14:textId="77777777" w:rsidTr="00A06573">
        <w:trPr>
          <w:jc w:val="center"/>
        </w:trPr>
        <w:tc>
          <w:tcPr>
            <w:tcW w:w="1094" w:type="dxa"/>
          </w:tcPr>
          <w:p w14:paraId="0BA9002D" w14:textId="77777777" w:rsidR="00BF1C7D" w:rsidRPr="00CF2DC8" w:rsidRDefault="00BF1C7D" w:rsidP="00CF2DC8">
            <w:pPr>
              <w:pStyle w:val="TAR"/>
            </w:pPr>
            <w:r w:rsidRPr="00CF2DC8">
              <w:t>n7</w:t>
            </w:r>
          </w:p>
        </w:tc>
        <w:tc>
          <w:tcPr>
            <w:tcW w:w="925" w:type="dxa"/>
          </w:tcPr>
          <w:p w14:paraId="6D7877F7" w14:textId="77777777" w:rsidR="00BF1C7D" w:rsidRPr="00CF2DC8" w:rsidRDefault="00BF1C7D" w:rsidP="00CF2DC8">
            <w:pPr>
              <w:pStyle w:val="TAR"/>
            </w:pPr>
            <w:r w:rsidRPr="00CF2DC8">
              <w:t>9.0</w:t>
            </w:r>
          </w:p>
        </w:tc>
        <w:tc>
          <w:tcPr>
            <w:tcW w:w="1011" w:type="dxa"/>
          </w:tcPr>
          <w:p w14:paraId="419F32B8" w14:textId="77777777" w:rsidR="00BF1C7D" w:rsidRPr="00CF2DC8" w:rsidRDefault="00BF1C7D" w:rsidP="00CF2DC8">
            <w:pPr>
              <w:pStyle w:val="TAR"/>
            </w:pPr>
            <w:r w:rsidRPr="00CF2DC8">
              <w:t>4.5</w:t>
            </w:r>
          </w:p>
        </w:tc>
        <w:tc>
          <w:tcPr>
            <w:tcW w:w="1285" w:type="dxa"/>
          </w:tcPr>
          <w:p w14:paraId="13699D94" w14:textId="77777777" w:rsidR="00BF1C7D" w:rsidRPr="00CF2DC8" w:rsidRDefault="00BF1C7D" w:rsidP="00CF2DC8">
            <w:pPr>
              <w:pStyle w:val="TAR"/>
            </w:pPr>
            <w:r w:rsidRPr="00CF2DC8">
              <w:t>-95.1</w:t>
            </w:r>
          </w:p>
        </w:tc>
        <w:tc>
          <w:tcPr>
            <w:tcW w:w="1350" w:type="dxa"/>
          </w:tcPr>
          <w:p w14:paraId="55CEFD59" w14:textId="79B82407" w:rsidR="00BF1C7D" w:rsidRPr="00CF2DC8" w:rsidRDefault="002E026E" w:rsidP="00CF2DC8">
            <w:pPr>
              <w:pStyle w:val="TAR"/>
            </w:pPr>
            <w:r w:rsidRPr="00CF2DC8">
              <w:t>-2.7</w:t>
            </w:r>
          </w:p>
        </w:tc>
        <w:tc>
          <w:tcPr>
            <w:tcW w:w="1440" w:type="dxa"/>
          </w:tcPr>
          <w:p w14:paraId="00DA1D39" w14:textId="6685C6F0" w:rsidR="00BF1C7D" w:rsidRPr="00CF2DC8" w:rsidRDefault="002E026E" w:rsidP="00CF2DC8">
            <w:pPr>
              <w:pStyle w:val="TAR"/>
            </w:pPr>
            <w:r w:rsidRPr="00CF2DC8">
              <w:t>-97.8</w:t>
            </w:r>
          </w:p>
        </w:tc>
      </w:tr>
      <w:tr w:rsidR="00BF1C7D" w14:paraId="0015063D" w14:textId="77777777" w:rsidTr="00A06573">
        <w:trPr>
          <w:jc w:val="center"/>
        </w:trPr>
        <w:tc>
          <w:tcPr>
            <w:tcW w:w="1094" w:type="dxa"/>
          </w:tcPr>
          <w:p w14:paraId="6C562284" w14:textId="77777777" w:rsidR="00BF1C7D" w:rsidRPr="00CF2DC8" w:rsidRDefault="00BF1C7D" w:rsidP="00CF2DC8">
            <w:pPr>
              <w:pStyle w:val="TAR"/>
            </w:pPr>
            <w:r w:rsidRPr="00CF2DC8">
              <w:t>n38</w:t>
            </w:r>
          </w:p>
        </w:tc>
        <w:tc>
          <w:tcPr>
            <w:tcW w:w="925" w:type="dxa"/>
          </w:tcPr>
          <w:p w14:paraId="3F770FE0" w14:textId="77777777" w:rsidR="00BF1C7D" w:rsidRPr="00CF2DC8" w:rsidRDefault="00BF1C7D" w:rsidP="00CF2DC8">
            <w:pPr>
              <w:pStyle w:val="TAR"/>
            </w:pPr>
            <w:r w:rsidRPr="00CF2DC8">
              <w:t>9.0</w:t>
            </w:r>
          </w:p>
        </w:tc>
        <w:tc>
          <w:tcPr>
            <w:tcW w:w="1011" w:type="dxa"/>
          </w:tcPr>
          <w:p w14:paraId="55A8C9D5" w14:textId="77777777" w:rsidR="00BF1C7D" w:rsidRPr="00CF2DC8" w:rsidRDefault="00BF1C7D" w:rsidP="00CF2DC8">
            <w:pPr>
              <w:pStyle w:val="TAR"/>
            </w:pPr>
            <w:r w:rsidRPr="00CF2DC8">
              <w:t>2.5</w:t>
            </w:r>
          </w:p>
        </w:tc>
        <w:tc>
          <w:tcPr>
            <w:tcW w:w="1285" w:type="dxa"/>
          </w:tcPr>
          <w:p w14:paraId="4753D8D4" w14:textId="77777777" w:rsidR="00BF1C7D" w:rsidRPr="00CF2DC8" w:rsidRDefault="00BF1C7D" w:rsidP="00CF2DC8">
            <w:pPr>
              <w:pStyle w:val="TAR"/>
            </w:pPr>
            <w:r w:rsidRPr="00CF2DC8">
              <w:t>-97.1</w:t>
            </w:r>
          </w:p>
        </w:tc>
        <w:tc>
          <w:tcPr>
            <w:tcW w:w="1350" w:type="dxa"/>
          </w:tcPr>
          <w:p w14:paraId="76B21ECB" w14:textId="3A5907DE" w:rsidR="00BF1C7D" w:rsidRPr="00CF2DC8" w:rsidRDefault="002E026E" w:rsidP="00CF2DC8">
            <w:pPr>
              <w:pStyle w:val="TAR"/>
            </w:pPr>
            <w:r w:rsidRPr="00CF2DC8">
              <w:t>-2.7</w:t>
            </w:r>
          </w:p>
        </w:tc>
        <w:tc>
          <w:tcPr>
            <w:tcW w:w="1440" w:type="dxa"/>
          </w:tcPr>
          <w:p w14:paraId="2A545386" w14:textId="2DBFC366" w:rsidR="00BF1C7D" w:rsidRPr="00CF2DC8" w:rsidRDefault="002E026E" w:rsidP="00CF2DC8">
            <w:pPr>
              <w:pStyle w:val="TAR"/>
            </w:pPr>
            <w:r w:rsidRPr="00CF2DC8">
              <w:t>-99.8</w:t>
            </w:r>
          </w:p>
        </w:tc>
      </w:tr>
      <w:tr w:rsidR="00BF1C7D" w14:paraId="52AA4D29" w14:textId="77777777" w:rsidTr="00A06573">
        <w:trPr>
          <w:jc w:val="center"/>
        </w:trPr>
        <w:tc>
          <w:tcPr>
            <w:tcW w:w="1094" w:type="dxa"/>
          </w:tcPr>
          <w:p w14:paraId="419CFB5F" w14:textId="77777777" w:rsidR="00BF1C7D" w:rsidRPr="00CF2DC8" w:rsidRDefault="00BF1C7D" w:rsidP="00CF2DC8">
            <w:pPr>
              <w:pStyle w:val="TAR"/>
            </w:pPr>
            <w:r w:rsidRPr="00CF2DC8">
              <w:t>n41</w:t>
            </w:r>
          </w:p>
        </w:tc>
        <w:tc>
          <w:tcPr>
            <w:tcW w:w="925" w:type="dxa"/>
          </w:tcPr>
          <w:p w14:paraId="3E64419B" w14:textId="77777777" w:rsidR="00BF1C7D" w:rsidRPr="00CF2DC8" w:rsidRDefault="00BF1C7D" w:rsidP="00CF2DC8">
            <w:pPr>
              <w:pStyle w:val="TAR"/>
            </w:pPr>
            <w:r w:rsidRPr="00CF2DC8">
              <w:t>9.0</w:t>
            </w:r>
          </w:p>
        </w:tc>
        <w:tc>
          <w:tcPr>
            <w:tcW w:w="1011" w:type="dxa"/>
          </w:tcPr>
          <w:p w14:paraId="2735B379" w14:textId="77777777" w:rsidR="00BF1C7D" w:rsidRPr="00CF2DC8" w:rsidRDefault="00BF1C7D" w:rsidP="00CF2DC8">
            <w:pPr>
              <w:pStyle w:val="TAR"/>
            </w:pPr>
            <w:r w:rsidRPr="00CF2DC8">
              <w:t>4.5</w:t>
            </w:r>
          </w:p>
        </w:tc>
        <w:tc>
          <w:tcPr>
            <w:tcW w:w="1285" w:type="dxa"/>
          </w:tcPr>
          <w:p w14:paraId="5232EC77" w14:textId="77777777" w:rsidR="00BF1C7D" w:rsidRPr="00CF2DC8" w:rsidRDefault="00BF1C7D" w:rsidP="00CF2DC8">
            <w:pPr>
              <w:pStyle w:val="TAR"/>
            </w:pPr>
            <w:r w:rsidRPr="00CF2DC8">
              <w:t>-95.1</w:t>
            </w:r>
          </w:p>
        </w:tc>
        <w:tc>
          <w:tcPr>
            <w:tcW w:w="1350" w:type="dxa"/>
          </w:tcPr>
          <w:p w14:paraId="06A68453" w14:textId="078A6125" w:rsidR="00BF1C7D" w:rsidRPr="00CF2DC8" w:rsidRDefault="002E026E" w:rsidP="00CF2DC8">
            <w:pPr>
              <w:pStyle w:val="TAR"/>
            </w:pPr>
            <w:r w:rsidRPr="00CF2DC8">
              <w:t>-2.7</w:t>
            </w:r>
          </w:p>
        </w:tc>
        <w:tc>
          <w:tcPr>
            <w:tcW w:w="1440" w:type="dxa"/>
          </w:tcPr>
          <w:p w14:paraId="3D2F17A1" w14:textId="733CADFE" w:rsidR="00BF1C7D" w:rsidRPr="00CF2DC8" w:rsidRDefault="002E026E" w:rsidP="00CF2DC8">
            <w:pPr>
              <w:pStyle w:val="TAR"/>
            </w:pPr>
            <w:r w:rsidRPr="00CF2DC8">
              <w:t>-97.8</w:t>
            </w:r>
          </w:p>
        </w:tc>
      </w:tr>
      <w:tr w:rsidR="00BF1C7D" w14:paraId="5A9178AD" w14:textId="77777777" w:rsidTr="00A06573">
        <w:trPr>
          <w:jc w:val="center"/>
        </w:trPr>
        <w:tc>
          <w:tcPr>
            <w:tcW w:w="1094" w:type="dxa"/>
          </w:tcPr>
          <w:p w14:paraId="6A5EF748" w14:textId="77777777" w:rsidR="00BF1C7D" w:rsidRPr="00CF2DC8" w:rsidRDefault="00BF1C7D" w:rsidP="00CF2DC8">
            <w:pPr>
              <w:pStyle w:val="TAR"/>
            </w:pPr>
            <w:r w:rsidRPr="00CF2DC8">
              <w:t>n48</w:t>
            </w:r>
          </w:p>
        </w:tc>
        <w:tc>
          <w:tcPr>
            <w:tcW w:w="925" w:type="dxa"/>
          </w:tcPr>
          <w:p w14:paraId="584179BE" w14:textId="77777777" w:rsidR="00BF1C7D" w:rsidRPr="00CF2DC8" w:rsidRDefault="00BF1C7D" w:rsidP="00CF2DC8">
            <w:pPr>
              <w:pStyle w:val="TAR"/>
            </w:pPr>
            <w:r w:rsidRPr="00CF2DC8">
              <w:t>10.0</w:t>
            </w:r>
          </w:p>
        </w:tc>
        <w:tc>
          <w:tcPr>
            <w:tcW w:w="1011" w:type="dxa"/>
          </w:tcPr>
          <w:p w14:paraId="62E86023" w14:textId="77777777" w:rsidR="00BF1C7D" w:rsidRPr="00CF2DC8" w:rsidRDefault="00BF1C7D" w:rsidP="00CF2DC8">
            <w:pPr>
              <w:pStyle w:val="TAR"/>
            </w:pPr>
            <w:r w:rsidRPr="00CF2DC8">
              <w:t>2.5</w:t>
            </w:r>
          </w:p>
        </w:tc>
        <w:tc>
          <w:tcPr>
            <w:tcW w:w="1285" w:type="dxa"/>
          </w:tcPr>
          <w:p w14:paraId="07BD110F" w14:textId="77777777" w:rsidR="00BF1C7D" w:rsidRPr="00CF2DC8" w:rsidRDefault="00BF1C7D" w:rsidP="00CF2DC8">
            <w:pPr>
              <w:pStyle w:val="TAR"/>
            </w:pPr>
            <w:r w:rsidRPr="00CF2DC8">
              <w:t>-96.1</w:t>
            </w:r>
          </w:p>
        </w:tc>
        <w:tc>
          <w:tcPr>
            <w:tcW w:w="1350" w:type="dxa"/>
          </w:tcPr>
          <w:p w14:paraId="7B4426F7" w14:textId="69FAB833" w:rsidR="00BF1C7D" w:rsidRPr="00CF2DC8" w:rsidRDefault="002E026E" w:rsidP="00CF2DC8">
            <w:pPr>
              <w:pStyle w:val="TAR"/>
            </w:pPr>
            <w:r w:rsidRPr="00CF2DC8">
              <w:t>-2.2</w:t>
            </w:r>
          </w:p>
        </w:tc>
        <w:tc>
          <w:tcPr>
            <w:tcW w:w="1440" w:type="dxa"/>
          </w:tcPr>
          <w:p w14:paraId="0097CC9E" w14:textId="35EA1066" w:rsidR="00BF1C7D" w:rsidRPr="00CF2DC8" w:rsidRDefault="002E026E" w:rsidP="00CF2DC8">
            <w:pPr>
              <w:pStyle w:val="TAR"/>
            </w:pPr>
            <w:r w:rsidRPr="00CF2DC8">
              <w:t>-98.3</w:t>
            </w:r>
          </w:p>
        </w:tc>
      </w:tr>
      <w:tr w:rsidR="00BF1C7D" w14:paraId="5718B4C5" w14:textId="77777777" w:rsidTr="00A06573">
        <w:trPr>
          <w:jc w:val="center"/>
        </w:trPr>
        <w:tc>
          <w:tcPr>
            <w:tcW w:w="1094" w:type="dxa"/>
          </w:tcPr>
          <w:p w14:paraId="19CF764B" w14:textId="77777777" w:rsidR="00BF1C7D" w:rsidRPr="00CF2DC8" w:rsidRDefault="00BF1C7D" w:rsidP="00CF2DC8">
            <w:pPr>
              <w:pStyle w:val="TAR"/>
            </w:pPr>
            <w:r w:rsidRPr="00CF2DC8">
              <w:t>n77</w:t>
            </w:r>
          </w:p>
        </w:tc>
        <w:tc>
          <w:tcPr>
            <w:tcW w:w="925" w:type="dxa"/>
          </w:tcPr>
          <w:p w14:paraId="46F9DA56" w14:textId="77777777" w:rsidR="00BF1C7D" w:rsidRPr="00CF2DC8" w:rsidRDefault="00BF1C7D" w:rsidP="00CF2DC8">
            <w:pPr>
              <w:pStyle w:val="TAR"/>
            </w:pPr>
            <w:r w:rsidRPr="00CF2DC8">
              <w:t>10.5</w:t>
            </w:r>
          </w:p>
        </w:tc>
        <w:tc>
          <w:tcPr>
            <w:tcW w:w="1011" w:type="dxa"/>
          </w:tcPr>
          <w:p w14:paraId="7A39ECD5" w14:textId="77777777" w:rsidR="00BF1C7D" w:rsidRPr="00CF2DC8" w:rsidRDefault="00BF1C7D" w:rsidP="00CF2DC8">
            <w:pPr>
              <w:pStyle w:val="TAR"/>
            </w:pPr>
            <w:r w:rsidRPr="00CF2DC8">
              <w:t>2.5</w:t>
            </w:r>
          </w:p>
        </w:tc>
        <w:tc>
          <w:tcPr>
            <w:tcW w:w="1285" w:type="dxa"/>
          </w:tcPr>
          <w:p w14:paraId="1B3F8E2F" w14:textId="1AEE6975" w:rsidR="00BF1C7D" w:rsidRPr="00CF2DC8" w:rsidRDefault="00BF1C7D" w:rsidP="00CF2DC8">
            <w:pPr>
              <w:pStyle w:val="TAR"/>
            </w:pPr>
            <w:r w:rsidRPr="00CF2DC8">
              <w:t>-95.6</w:t>
            </w:r>
          </w:p>
        </w:tc>
        <w:tc>
          <w:tcPr>
            <w:tcW w:w="1350" w:type="dxa"/>
          </w:tcPr>
          <w:p w14:paraId="703E5CA4" w14:textId="76C4440B" w:rsidR="00BF1C7D" w:rsidRPr="00CF2DC8" w:rsidRDefault="002E026E" w:rsidP="00CF2DC8">
            <w:pPr>
              <w:pStyle w:val="TAR"/>
            </w:pPr>
            <w:r w:rsidRPr="00CF2DC8">
              <w:t>-2.2</w:t>
            </w:r>
          </w:p>
        </w:tc>
        <w:tc>
          <w:tcPr>
            <w:tcW w:w="1440" w:type="dxa"/>
          </w:tcPr>
          <w:p w14:paraId="2374E8EE" w14:textId="2441A9ED" w:rsidR="00BF1C7D" w:rsidRPr="00CF2DC8" w:rsidRDefault="002E026E" w:rsidP="00CF2DC8">
            <w:pPr>
              <w:pStyle w:val="TAR"/>
            </w:pPr>
            <w:r w:rsidRPr="00CF2DC8">
              <w:t>-97.8</w:t>
            </w:r>
          </w:p>
        </w:tc>
      </w:tr>
      <w:tr w:rsidR="00BF1C7D" w14:paraId="104A98DF" w14:textId="77777777" w:rsidTr="00A06573">
        <w:trPr>
          <w:jc w:val="center"/>
        </w:trPr>
        <w:tc>
          <w:tcPr>
            <w:tcW w:w="1094" w:type="dxa"/>
          </w:tcPr>
          <w:p w14:paraId="69DBE040" w14:textId="77777777" w:rsidR="00BF1C7D" w:rsidRPr="00CF2DC8" w:rsidRDefault="00BF1C7D" w:rsidP="00CF2DC8">
            <w:pPr>
              <w:pStyle w:val="TAR"/>
            </w:pPr>
            <w:r w:rsidRPr="00CF2DC8">
              <w:t>n78</w:t>
            </w:r>
          </w:p>
        </w:tc>
        <w:tc>
          <w:tcPr>
            <w:tcW w:w="925" w:type="dxa"/>
          </w:tcPr>
          <w:p w14:paraId="3336ECAA" w14:textId="77777777" w:rsidR="00BF1C7D" w:rsidRPr="00CF2DC8" w:rsidRDefault="00BF1C7D" w:rsidP="00CF2DC8">
            <w:pPr>
              <w:pStyle w:val="TAR"/>
            </w:pPr>
            <w:r w:rsidRPr="00CF2DC8">
              <w:t>10.0</w:t>
            </w:r>
          </w:p>
        </w:tc>
        <w:tc>
          <w:tcPr>
            <w:tcW w:w="1011" w:type="dxa"/>
          </w:tcPr>
          <w:p w14:paraId="5D22016F" w14:textId="77777777" w:rsidR="00BF1C7D" w:rsidRPr="00CF2DC8" w:rsidRDefault="00BF1C7D" w:rsidP="00CF2DC8">
            <w:pPr>
              <w:pStyle w:val="TAR"/>
            </w:pPr>
            <w:r w:rsidRPr="00CF2DC8">
              <w:t>2.5</w:t>
            </w:r>
          </w:p>
        </w:tc>
        <w:tc>
          <w:tcPr>
            <w:tcW w:w="1285" w:type="dxa"/>
          </w:tcPr>
          <w:p w14:paraId="7C9DEAB1" w14:textId="77777777" w:rsidR="00BF1C7D" w:rsidRPr="00CF2DC8" w:rsidRDefault="00BF1C7D" w:rsidP="00CF2DC8">
            <w:pPr>
              <w:pStyle w:val="TAR"/>
            </w:pPr>
            <w:r w:rsidRPr="00CF2DC8">
              <w:t>-96.1</w:t>
            </w:r>
          </w:p>
        </w:tc>
        <w:tc>
          <w:tcPr>
            <w:tcW w:w="1350" w:type="dxa"/>
          </w:tcPr>
          <w:p w14:paraId="514193AB" w14:textId="6E4D7483" w:rsidR="00BF1C7D" w:rsidRPr="00CF2DC8" w:rsidRDefault="002E026E" w:rsidP="00CF2DC8">
            <w:pPr>
              <w:pStyle w:val="TAR"/>
            </w:pPr>
            <w:r w:rsidRPr="00CF2DC8">
              <w:t>-2.2</w:t>
            </w:r>
          </w:p>
        </w:tc>
        <w:tc>
          <w:tcPr>
            <w:tcW w:w="1440" w:type="dxa"/>
          </w:tcPr>
          <w:p w14:paraId="5BCADB44" w14:textId="79083005" w:rsidR="00BF1C7D" w:rsidRPr="00CF2DC8" w:rsidRDefault="002E026E" w:rsidP="00CF2DC8">
            <w:pPr>
              <w:pStyle w:val="TAR"/>
            </w:pPr>
            <w:r w:rsidRPr="00CF2DC8">
              <w:t>-98.3</w:t>
            </w:r>
          </w:p>
        </w:tc>
      </w:tr>
      <w:tr w:rsidR="00BF1C7D" w14:paraId="1A639681" w14:textId="77777777" w:rsidTr="00A06573">
        <w:trPr>
          <w:jc w:val="center"/>
        </w:trPr>
        <w:tc>
          <w:tcPr>
            <w:tcW w:w="1094" w:type="dxa"/>
          </w:tcPr>
          <w:p w14:paraId="18D75C56" w14:textId="77777777" w:rsidR="00BF1C7D" w:rsidRPr="00CF2DC8" w:rsidRDefault="00BF1C7D" w:rsidP="00CF2DC8">
            <w:pPr>
              <w:pStyle w:val="TAR"/>
            </w:pPr>
            <w:r w:rsidRPr="00CF2DC8">
              <w:t>n79</w:t>
            </w:r>
          </w:p>
        </w:tc>
        <w:tc>
          <w:tcPr>
            <w:tcW w:w="925" w:type="dxa"/>
          </w:tcPr>
          <w:p w14:paraId="18FE00FF" w14:textId="77777777" w:rsidR="00BF1C7D" w:rsidRPr="00CF2DC8" w:rsidRDefault="00BF1C7D" w:rsidP="00CF2DC8">
            <w:pPr>
              <w:pStyle w:val="TAR"/>
            </w:pPr>
            <w:r w:rsidRPr="00CF2DC8">
              <w:t>10.0</w:t>
            </w:r>
          </w:p>
        </w:tc>
        <w:tc>
          <w:tcPr>
            <w:tcW w:w="1011" w:type="dxa"/>
          </w:tcPr>
          <w:p w14:paraId="6379017D" w14:textId="77777777" w:rsidR="00BF1C7D" w:rsidRPr="00CF2DC8" w:rsidRDefault="00BF1C7D" w:rsidP="00CF2DC8">
            <w:pPr>
              <w:pStyle w:val="TAR"/>
            </w:pPr>
            <w:r w:rsidRPr="00CF2DC8">
              <w:t>2.5</w:t>
            </w:r>
          </w:p>
        </w:tc>
        <w:tc>
          <w:tcPr>
            <w:tcW w:w="1285" w:type="dxa"/>
          </w:tcPr>
          <w:p w14:paraId="343B03DC" w14:textId="77777777" w:rsidR="00BF1C7D" w:rsidRPr="00CF2DC8" w:rsidRDefault="00BF1C7D" w:rsidP="00CF2DC8">
            <w:pPr>
              <w:pStyle w:val="TAR"/>
            </w:pPr>
            <w:r w:rsidRPr="00CF2DC8">
              <w:t>-96.1</w:t>
            </w:r>
          </w:p>
        </w:tc>
        <w:tc>
          <w:tcPr>
            <w:tcW w:w="1350" w:type="dxa"/>
          </w:tcPr>
          <w:p w14:paraId="570FD487" w14:textId="5E9C7895" w:rsidR="00BF1C7D" w:rsidRPr="00CF2DC8" w:rsidRDefault="002E026E" w:rsidP="00CF2DC8">
            <w:pPr>
              <w:pStyle w:val="TAR"/>
            </w:pPr>
            <w:r w:rsidRPr="00CF2DC8">
              <w:t>-2.2</w:t>
            </w:r>
          </w:p>
        </w:tc>
        <w:tc>
          <w:tcPr>
            <w:tcW w:w="1440" w:type="dxa"/>
          </w:tcPr>
          <w:p w14:paraId="1559356F" w14:textId="3AD7C0CE" w:rsidR="00BF1C7D" w:rsidRPr="00CF2DC8" w:rsidRDefault="002E026E" w:rsidP="00CF2DC8">
            <w:pPr>
              <w:pStyle w:val="TAR"/>
            </w:pPr>
            <w:r w:rsidRPr="00CF2DC8">
              <w:t>-98.3</w:t>
            </w:r>
          </w:p>
        </w:tc>
      </w:tr>
    </w:tbl>
    <w:p w14:paraId="742D7174" w14:textId="77777777" w:rsidR="00BF1C7D" w:rsidRDefault="00BF1C7D" w:rsidP="006B7323"/>
    <w:p w14:paraId="49F2627C" w14:textId="77777777" w:rsidR="00535043" w:rsidRDefault="00466F52" w:rsidP="006B7323">
      <w:r>
        <w:t xml:space="preserve">When RAN4 determined the values of NF and IM assumptions, considerations for many possible UE RF architectures were made.  </w:t>
      </w:r>
      <w:r w:rsidR="00922EA1">
        <w:t xml:space="preserve">For example, the ISM band coexistence considerations for band 41 are not strictly required from the </w:t>
      </w:r>
      <w:r w:rsidR="00535043">
        <w:t xml:space="preserve">regulatory and, consequently, the </w:t>
      </w:r>
      <w:r w:rsidR="00922EA1">
        <w:t>3GPP perspective</w:t>
      </w:r>
      <w:r w:rsidR="00535043">
        <w:t>.</w:t>
      </w:r>
      <w:r w:rsidR="00922EA1">
        <w:t xml:space="preserve">  </w:t>
      </w:r>
      <w:r w:rsidR="00535043">
        <w:t>H</w:t>
      </w:r>
      <w:r w:rsidR="00922EA1">
        <w:t xml:space="preserve">owever, practical handset implementations do not forgo the support of </w:t>
      </w:r>
      <w:proofErr w:type="spellStart"/>
      <w:r w:rsidR="00922EA1">
        <w:t>WiFi</w:t>
      </w:r>
      <w:proofErr w:type="spellEnd"/>
      <w:r w:rsidR="00922EA1">
        <w:t xml:space="preserve">, and the RAN4 requirement has accommodated this reality.  </w:t>
      </w:r>
      <w:r>
        <w:t xml:space="preserve">This </w:t>
      </w:r>
      <w:r w:rsidR="00922EA1">
        <w:t xml:space="preserve">approach </w:t>
      </w:r>
      <w:r>
        <w:t>has enabled a vibrant ecosystem of devices:  from UTRA devices upon the inception of 3GPP to LTE and finally NR.</w:t>
      </w:r>
    </w:p>
    <w:p w14:paraId="413D4B20" w14:textId="77777777" w:rsidR="00535043" w:rsidRDefault="00535043" w:rsidP="006B7323"/>
    <w:p w14:paraId="6266970F" w14:textId="2402053D" w:rsidR="008D56C7" w:rsidRDefault="00466F52" w:rsidP="006B7323">
      <w:r>
        <w:t xml:space="preserve">The RAN Task </w:t>
      </w:r>
      <w:r>
        <w:fldChar w:fldCharType="begin"/>
      </w:r>
      <w:r>
        <w:instrText xml:space="preserve"> REF _Ref157695771 \r \h </w:instrText>
      </w:r>
      <w:r>
        <w:fldChar w:fldCharType="separate"/>
      </w:r>
      <w:r w:rsidR="00632C1E">
        <w:t>[3]</w:t>
      </w:r>
      <w:r>
        <w:fldChar w:fldCharType="end"/>
      </w:r>
      <w:r>
        <w:t xml:space="preserve"> instructs RAN4</w:t>
      </w:r>
      <w:r w:rsidR="0074227B">
        <w:t xml:space="preserve"> to determine whether it is feasible to consider tightening the REFSENS requirement for these XR devices.  Naturally, this potential tightening is bounded by the 2Rx to 4Rx diversity gain parameter</w:t>
      </w:r>
      <w:r w:rsidR="00886378">
        <w:t xml:space="preserve"> (</w:t>
      </w:r>
      <w:r w:rsidR="00886378" w:rsidRPr="00886378">
        <w:t>∆R</w:t>
      </w:r>
      <w:r w:rsidR="00886378" w:rsidRPr="00886378">
        <w:rPr>
          <w:vertAlign w:val="subscript"/>
        </w:rPr>
        <w:t>IB,4R</w:t>
      </w:r>
      <w:r w:rsidR="00886378">
        <w:t>)</w:t>
      </w:r>
      <w:r w:rsidR="0074227B">
        <w:t>, as shown in Table 1.</w:t>
      </w:r>
      <w:r w:rsidR="000A1B0D">
        <w:t xml:space="preserve">  The feasibility of this proposal depends on two aspects:  whether the derivation of XR wearable requirements should assume an enhanced transceiver RF architecture (compared to the current baseline in the specs) and whether a common assumption of </w:t>
      </w:r>
      <w:proofErr w:type="gramStart"/>
      <w:r w:rsidR="000A1B0D">
        <w:t>front end</w:t>
      </w:r>
      <w:proofErr w:type="gramEnd"/>
      <w:r w:rsidR="000A1B0D">
        <w:t xml:space="preserve"> losses in an XR wearable form factor can be confirmed to be lower than the current baseline in the specs (which is based on the smartphone device).</w:t>
      </w:r>
      <w:r w:rsidR="00D73A84">
        <w:t xml:space="preserve">  It is difficult to provide a quantitative answer to the first question due to the nascency of the XR wearable ecosystem.  Transceiver architectures tend to follow market demand, and it is reasonable to assume that at least a sizeable portion of the XR wearable ecosystem will seek to leverage existing transceiver architectures.  Likewise, detailed assumptions related to the RF front end design are also too early to analyze.  One aspect for which it might be possible to consider some limited data </w:t>
      </w:r>
      <w:r w:rsidR="00D73A84">
        <w:lastRenderedPageBreak/>
        <w:t xml:space="preserve">is a comparative look at insertion losses for RF cables.  Referring to an informative contribution submitted to RAN #102, the possible 5G antenna placement was illustrated on one side of the XR wearable device, which is opposite of the location of the chipset </w:t>
      </w:r>
      <w:r w:rsidR="00795B34">
        <w:fldChar w:fldCharType="begin"/>
      </w:r>
      <w:r w:rsidR="00795B34">
        <w:instrText xml:space="preserve"> REF _Ref157761909 \r \h </w:instrText>
      </w:r>
      <w:r w:rsidR="00795B34">
        <w:fldChar w:fldCharType="separate"/>
      </w:r>
      <w:r w:rsidR="00632C1E">
        <w:t>[8]</w:t>
      </w:r>
      <w:r w:rsidR="00795B34">
        <w:fldChar w:fldCharType="end"/>
      </w:r>
      <w:r w:rsidR="00795B34">
        <w:t>.</w:t>
      </w:r>
    </w:p>
    <w:p w14:paraId="3445007A" w14:textId="77777777" w:rsidR="00D73A84" w:rsidRDefault="00D73A84" w:rsidP="006B7323"/>
    <w:p w14:paraId="58E5BD27" w14:textId="79A58FFA" w:rsidR="000A1B0D" w:rsidRDefault="004F62B4" w:rsidP="006B7323">
      <w:r>
        <w:t xml:space="preserve">Very similar considerations </w:t>
      </w:r>
      <w:proofErr w:type="gramStart"/>
      <w:r>
        <w:t>in regard to</w:t>
      </w:r>
      <w:proofErr w:type="gramEnd"/>
      <w:r>
        <w:t xml:space="preserve"> the placement of antennas and modem are shown in </w:t>
      </w:r>
      <w:r>
        <w:fldChar w:fldCharType="begin"/>
      </w:r>
      <w:r>
        <w:instrText xml:space="preserve"> REF _Ref157762120 \r \h </w:instrText>
      </w:r>
      <w:r>
        <w:fldChar w:fldCharType="separate"/>
      </w:r>
      <w:r w:rsidR="00632C1E">
        <w:t>[9]</w:t>
      </w:r>
      <w:r>
        <w:fldChar w:fldCharType="end"/>
      </w:r>
      <w:r w:rsidR="003C2875">
        <w:t xml:space="preserve">.  </w:t>
      </w:r>
      <w:r w:rsidR="00CF2DC8">
        <w:t xml:space="preserve">Although it is not possible to quantify all aspects which impact the performance of the RF front end of this new device type, it is possible to consider insertion loss data of several antenna cables.  Table 2 below provides a summary from </w:t>
      </w:r>
      <w:r w:rsidR="00EA04CC">
        <w:t xml:space="preserve">three </w:t>
      </w:r>
      <w:r w:rsidR="00CF2DC8">
        <w:t>vendors.</w:t>
      </w:r>
    </w:p>
    <w:p w14:paraId="1ADB1486" w14:textId="77777777" w:rsidR="00CF2DC8" w:rsidRDefault="00CF2DC8" w:rsidP="006B7323"/>
    <w:p w14:paraId="383CADD5" w14:textId="39E92450" w:rsidR="00CF2DC8" w:rsidRDefault="00CF2DC8" w:rsidP="00CF2DC8">
      <w:pPr>
        <w:pStyle w:val="TH"/>
      </w:pPr>
      <w:r>
        <w:t xml:space="preserve">Table </w:t>
      </w:r>
      <w:r w:rsidR="00E11104">
        <w:t>2</w:t>
      </w:r>
      <w:r>
        <w:t xml:space="preserve">: Summary of </w:t>
      </w:r>
      <w:r w:rsidR="00E11104">
        <w:t>insertion loss data for flexible coaxial cables</w:t>
      </w:r>
    </w:p>
    <w:tbl>
      <w:tblPr>
        <w:tblStyle w:val="TableGrid"/>
        <w:tblW w:w="7729" w:type="dxa"/>
        <w:jc w:val="center"/>
        <w:tblLook w:val="04A0" w:firstRow="1" w:lastRow="0" w:firstColumn="1" w:lastColumn="0" w:noHBand="0" w:noVBand="1"/>
      </w:tblPr>
      <w:tblGrid>
        <w:gridCol w:w="1464"/>
        <w:gridCol w:w="831"/>
        <w:gridCol w:w="1250"/>
        <w:gridCol w:w="864"/>
        <w:gridCol w:w="1250"/>
        <w:gridCol w:w="820"/>
        <w:gridCol w:w="1250"/>
      </w:tblGrid>
      <w:tr w:rsidR="00795B34" w14:paraId="5BD94BFD" w14:textId="465F8227" w:rsidTr="00632C1E">
        <w:trPr>
          <w:jc w:val="center"/>
        </w:trPr>
        <w:tc>
          <w:tcPr>
            <w:tcW w:w="1464" w:type="dxa"/>
            <w:vMerge w:val="restart"/>
          </w:tcPr>
          <w:p w14:paraId="4E864D50" w14:textId="5D480450" w:rsidR="00795B34" w:rsidRDefault="00795B34" w:rsidP="00CF2DC8">
            <w:pPr>
              <w:pStyle w:val="TH"/>
            </w:pPr>
            <w:r>
              <w:t>Frequency (MHz)</w:t>
            </w:r>
          </w:p>
        </w:tc>
        <w:tc>
          <w:tcPr>
            <w:tcW w:w="2081" w:type="dxa"/>
            <w:gridSpan w:val="2"/>
          </w:tcPr>
          <w:p w14:paraId="647E2000" w14:textId="2352404B" w:rsidR="00795B34" w:rsidRDefault="00795B34" w:rsidP="00CF2DC8">
            <w:pPr>
              <w:pStyle w:val="TH"/>
            </w:pPr>
            <w:r>
              <w:t>Suppl</w:t>
            </w:r>
            <w:r w:rsidR="00232112">
              <w:t>i</w:t>
            </w:r>
            <w:r>
              <w:t>er A</w:t>
            </w:r>
          </w:p>
        </w:tc>
        <w:tc>
          <w:tcPr>
            <w:tcW w:w="2114" w:type="dxa"/>
            <w:gridSpan w:val="2"/>
          </w:tcPr>
          <w:p w14:paraId="4C2274BD" w14:textId="43B7C8B0" w:rsidR="00795B34" w:rsidRDefault="00795B34" w:rsidP="00CF2DC8">
            <w:pPr>
              <w:pStyle w:val="TH"/>
            </w:pPr>
            <w:r>
              <w:t>Supplier B</w:t>
            </w:r>
          </w:p>
        </w:tc>
        <w:tc>
          <w:tcPr>
            <w:tcW w:w="2070" w:type="dxa"/>
            <w:gridSpan w:val="2"/>
          </w:tcPr>
          <w:p w14:paraId="5910FAFE" w14:textId="7C9AD496" w:rsidR="00795B34" w:rsidRDefault="00795B34" w:rsidP="00CF2DC8">
            <w:pPr>
              <w:pStyle w:val="TH"/>
            </w:pPr>
            <w:r>
              <w:t>Supplier C</w:t>
            </w:r>
          </w:p>
        </w:tc>
      </w:tr>
      <w:tr w:rsidR="00795B34" w14:paraId="4931D9A9" w14:textId="7B79C088" w:rsidTr="00632C1E">
        <w:trPr>
          <w:jc w:val="center"/>
        </w:trPr>
        <w:tc>
          <w:tcPr>
            <w:tcW w:w="1464" w:type="dxa"/>
            <w:vMerge/>
          </w:tcPr>
          <w:p w14:paraId="3A4508E5" w14:textId="78A598B8" w:rsidR="00795B34" w:rsidRDefault="00795B34" w:rsidP="00CF2DC8"/>
        </w:tc>
        <w:tc>
          <w:tcPr>
            <w:tcW w:w="831" w:type="dxa"/>
          </w:tcPr>
          <w:p w14:paraId="057306D2" w14:textId="77E0419C" w:rsidR="00795B34" w:rsidRDefault="00795B34" w:rsidP="00CF2DC8">
            <w:pPr>
              <w:pStyle w:val="TH"/>
            </w:pPr>
            <w:r>
              <w:t>dB/m</w:t>
            </w:r>
          </w:p>
        </w:tc>
        <w:tc>
          <w:tcPr>
            <w:tcW w:w="1250" w:type="dxa"/>
          </w:tcPr>
          <w:p w14:paraId="28D960A9" w14:textId="34061E44" w:rsidR="00795B34" w:rsidRDefault="00795B34" w:rsidP="00CF2DC8">
            <w:pPr>
              <w:pStyle w:val="TH"/>
            </w:pPr>
            <w:r>
              <w:t>dB/200mm</w:t>
            </w:r>
          </w:p>
        </w:tc>
        <w:tc>
          <w:tcPr>
            <w:tcW w:w="864" w:type="dxa"/>
          </w:tcPr>
          <w:p w14:paraId="4C85EF15" w14:textId="1AD38363" w:rsidR="00795B34" w:rsidRDefault="00795B34" w:rsidP="00CF2DC8">
            <w:pPr>
              <w:pStyle w:val="TH"/>
            </w:pPr>
            <w:r>
              <w:t>dB/m</w:t>
            </w:r>
          </w:p>
        </w:tc>
        <w:tc>
          <w:tcPr>
            <w:tcW w:w="1250" w:type="dxa"/>
          </w:tcPr>
          <w:p w14:paraId="5687E49B" w14:textId="7214ADC3" w:rsidR="00795B34" w:rsidRDefault="00795B34" w:rsidP="00CF2DC8">
            <w:pPr>
              <w:pStyle w:val="TH"/>
            </w:pPr>
            <w:r>
              <w:t>dB/200mm</w:t>
            </w:r>
          </w:p>
        </w:tc>
        <w:tc>
          <w:tcPr>
            <w:tcW w:w="820" w:type="dxa"/>
          </w:tcPr>
          <w:p w14:paraId="0F47CEAA" w14:textId="2012CE71" w:rsidR="00795B34" w:rsidRDefault="00795B34" w:rsidP="00CF2DC8">
            <w:pPr>
              <w:pStyle w:val="TH"/>
            </w:pPr>
            <w:r>
              <w:t>dB/m</w:t>
            </w:r>
          </w:p>
        </w:tc>
        <w:tc>
          <w:tcPr>
            <w:tcW w:w="1250" w:type="dxa"/>
          </w:tcPr>
          <w:p w14:paraId="08DC0E95" w14:textId="338FCB06" w:rsidR="00795B34" w:rsidRDefault="00795B34" w:rsidP="00CF2DC8">
            <w:pPr>
              <w:pStyle w:val="TH"/>
            </w:pPr>
            <w:r>
              <w:t>dB/200mm</w:t>
            </w:r>
          </w:p>
        </w:tc>
      </w:tr>
      <w:tr w:rsidR="00795B34" w14:paraId="54DA51DE" w14:textId="7D281044" w:rsidTr="00632C1E">
        <w:trPr>
          <w:jc w:val="center"/>
        </w:trPr>
        <w:tc>
          <w:tcPr>
            <w:tcW w:w="1464" w:type="dxa"/>
          </w:tcPr>
          <w:p w14:paraId="18780ADA" w14:textId="526E605D" w:rsidR="00795B34" w:rsidRDefault="00795B34" w:rsidP="00CF2DC8">
            <w:pPr>
              <w:pStyle w:val="TAR"/>
            </w:pPr>
            <w:r w:rsidRPr="007F78C1">
              <w:t>1000 MHz</w:t>
            </w:r>
          </w:p>
        </w:tc>
        <w:tc>
          <w:tcPr>
            <w:tcW w:w="831" w:type="dxa"/>
          </w:tcPr>
          <w:p w14:paraId="50451A98" w14:textId="6F739FCE" w:rsidR="00795B34" w:rsidRDefault="00795B34" w:rsidP="00CF2DC8">
            <w:pPr>
              <w:pStyle w:val="TAR"/>
            </w:pPr>
            <w:r w:rsidRPr="007F78C1">
              <w:t>3.3</w:t>
            </w:r>
          </w:p>
        </w:tc>
        <w:tc>
          <w:tcPr>
            <w:tcW w:w="1250" w:type="dxa"/>
          </w:tcPr>
          <w:p w14:paraId="061A2B6A" w14:textId="41C6A1BD" w:rsidR="00795B34" w:rsidRDefault="00795B34" w:rsidP="00CF2DC8">
            <w:pPr>
              <w:pStyle w:val="TAR"/>
            </w:pPr>
            <w:r w:rsidRPr="007F78C1">
              <w:t>0.7</w:t>
            </w:r>
          </w:p>
        </w:tc>
        <w:tc>
          <w:tcPr>
            <w:tcW w:w="864" w:type="dxa"/>
          </w:tcPr>
          <w:p w14:paraId="6CD224CA" w14:textId="34F95EE0" w:rsidR="00795B34" w:rsidRDefault="00795B34" w:rsidP="00CF2DC8">
            <w:pPr>
              <w:pStyle w:val="TAR"/>
            </w:pPr>
            <w:r w:rsidRPr="007F78C1">
              <w:t>2.9</w:t>
            </w:r>
          </w:p>
        </w:tc>
        <w:tc>
          <w:tcPr>
            <w:tcW w:w="1250" w:type="dxa"/>
          </w:tcPr>
          <w:p w14:paraId="31F24E10" w14:textId="5DB991A9" w:rsidR="00795B34" w:rsidRDefault="00795B34" w:rsidP="00CF2DC8">
            <w:pPr>
              <w:pStyle w:val="TAR"/>
            </w:pPr>
            <w:r w:rsidRPr="007F78C1">
              <w:t>0.6</w:t>
            </w:r>
          </w:p>
        </w:tc>
        <w:tc>
          <w:tcPr>
            <w:tcW w:w="820" w:type="dxa"/>
          </w:tcPr>
          <w:p w14:paraId="57A00064" w14:textId="3315FBE1" w:rsidR="00795B34" w:rsidRDefault="00795B34" w:rsidP="00CF2DC8">
            <w:pPr>
              <w:pStyle w:val="TAR"/>
            </w:pPr>
            <w:r w:rsidRPr="007F78C1">
              <w:t>1.6</w:t>
            </w:r>
          </w:p>
        </w:tc>
        <w:tc>
          <w:tcPr>
            <w:tcW w:w="1250" w:type="dxa"/>
          </w:tcPr>
          <w:p w14:paraId="0504EC01" w14:textId="6D6CA766" w:rsidR="00795B34" w:rsidRDefault="00795B34" w:rsidP="00CF2DC8">
            <w:pPr>
              <w:pStyle w:val="TAR"/>
            </w:pPr>
            <w:r w:rsidRPr="007F78C1">
              <w:t>0.3</w:t>
            </w:r>
          </w:p>
        </w:tc>
      </w:tr>
      <w:tr w:rsidR="00795B34" w14:paraId="4F303DA1" w14:textId="28DE9A09" w:rsidTr="00632C1E">
        <w:trPr>
          <w:jc w:val="center"/>
        </w:trPr>
        <w:tc>
          <w:tcPr>
            <w:tcW w:w="1464" w:type="dxa"/>
          </w:tcPr>
          <w:p w14:paraId="56838E7C" w14:textId="7C5EEAE3" w:rsidR="00795B34" w:rsidRDefault="00795B34" w:rsidP="00CF2DC8">
            <w:pPr>
              <w:pStyle w:val="TAR"/>
            </w:pPr>
            <w:r w:rsidRPr="007F78C1">
              <w:t>2000 MHz</w:t>
            </w:r>
          </w:p>
        </w:tc>
        <w:tc>
          <w:tcPr>
            <w:tcW w:w="831" w:type="dxa"/>
          </w:tcPr>
          <w:p w14:paraId="0FFE06EA" w14:textId="606609D0" w:rsidR="00795B34" w:rsidRDefault="00795B34" w:rsidP="00CF2DC8">
            <w:pPr>
              <w:pStyle w:val="TAR"/>
            </w:pPr>
            <w:r w:rsidRPr="007F78C1">
              <w:t>4.5</w:t>
            </w:r>
          </w:p>
        </w:tc>
        <w:tc>
          <w:tcPr>
            <w:tcW w:w="1250" w:type="dxa"/>
          </w:tcPr>
          <w:p w14:paraId="1F5BE6A6" w14:textId="45935A70" w:rsidR="00795B34" w:rsidRDefault="00795B34" w:rsidP="00CF2DC8">
            <w:pPr>
              <w:pStyle w:val="TAR"/>
            </w:pPr>
            <w:r w:rsidRPr="007F78C1">
              <w:t>0.9</w:t>
            </w:r>
          </w:p>
        </w:tc>
        <w:tc>
          <w:tcPr>
            <w:tcW w:w="864" w:type="dxa"/>
          </w:tcPr>
          <w:p w14:paraId="6B8457FC" w14:textId="2CDE3301" w:rsidR="00795B34" w:rsidRDefault="00795B34" w:rsidP="00CF2DC8">
            <w:pPr>
              <w:pStyle w:val="TAR"/>
            </w:pPr>
            <w:r w:rsidRPr="007F78C1">
              <w:t>3.2</w:t>
            </w:r>
          </w:p>
        </w:tc>
        <w:tc>
          <w:tcPr>
            <w:tcW w:w="1250" w:type="dxa"/>
          </w:tcPr>
          <w:p w14:paraId="00A8304B" w14:textId="635786C0" w:rsidR="00795B34" w:rsidRDefault="00795B34" w:rsidP="00CF2DC8">
            <w:pPr>
              <w:pStyle w:val="TAR"/>
            </w:pPr>
            <w:r w:rsidRPr="007F78C1">
              <w:t>0.6</w:t>
            </w:r>
          </w:p>
        </w:tc>
        <w:tc>
          <w:tcPr>
            <w:tcW w:w="820" w:type="dxa"/>
          </w:tcPr>
          <w:p w14:paraId="023AE54E" w14:textId="2FD96857" w:rsidR="00795B34" w:rsidRDefault="00795B34" w:rsidP="00CF2DC8">
            <w:pPr>
              <w:pStyle w:val="TAR"/>
            </w:pPr>
            <w:r w:rsidRPr="007F78C1">
              <w:t>2.7</w:t>
            </w:r>
          </w:p>
        </w:tc>
        <w:tc>
          <w:tcPr>
            <w:tcW w:w="1250" w:type="dxa"/>
          </w:tcPr>
          <w:p w14:paraId="7EC82388" w14:textId="42849D5C" w:rsidR="00795B34" w:rsidRDefault="00795B34" w:rsidP="00CF2DC8">
            <w:pPr>
              <w:pStyle w:val="TAR"/>
            </w:pPr>
            <w:r w:rsidRPr="007F78C1">
              <w:t>0.5</w:t>
            </w:r>
          </w:p>
        </w:tc>
      </w:tr>
      <w:tr w:rsidR="00795B34" w14:paraId="49E29F7C" w14:textId="5F08178F" w:rsidTr="00632C1E">
        <w:trPr>
          <w:jc w:val="center"/>
        </w:trPr>
        <w:tc>
          <w:tcPr>
            <w:tcW w:w="1464" w:type="dxa"/>
          </w:tcPr>
          <w:p w14:paraId="08B936AA" w14:textId="74959E65" w:rsidR="00795B34" w:rsidRDefault="00795B34" w:rsidP="00CF2DC8">
            <w:pPr>
              <w:pStyle w:val="TAR"/>
            </w:pPr>
            <w:r w:rsidRPr="007F78C1">
              <w:t>3000 MHz</w:t>
            </w:r>
          </w:p>
        </w:tc>
        <w:tc>
          <w:tcPr>
            <w:tcW w:w="831" w:type="dxa"/>
          </w:tcPr>
          <w:p w14:paraId="4472BDD2" w14:textId="2AEA8FF0" w:rsidR="00795B34" w:rsidRDefault="00795B34" w:rsidP="00CF2DC8">
            <w:pPr>
              <w:pStyle w:val="TAR"/>
            </w:pPr>
            <w:r w:rsidRPr="007F78C1">
              <w:t>5.7</w:t>
            </w:r>
          </w:p>
        </w:tc>
        <w:tc>
          <w:tcPr>
            <w:tcW w:w="1250" w:type="dxa"/>
          </w:tcPr>
          <w:p w14:paraId="00E9059F" w14:textId="03A0BEC9" w:rsidR="00795B34" w:rsidRDefault="00795B34" w:rsidP="00CF2DC8">
            <w:pPr>
              <w:pStyle w:val="TAR"/>
            </w:pPr>
            <w:r w:rsidRPr="007F78C1">
              <w:t>1.1</w:t>
            </w:r>
          </w:p>
        </w:tc>
        <w:tc>
          <w:tcPr>
            <w:tcW w:w="864" w:type="dxa"/>
          </w:tcPr>
          <w:p w14:paraId="34DAD322" w14:textId="005D998C" w:rsidR="00795B34" w:rsidRDefault="00795B34" w:rsidP="00CF2DC8">
            <w:pPr>
              <w:pStyle w:val="TAR"/>
            </w:pPr>
            <w:r w:rsidRPr="007F78C1">
              <w:t>3.3</w:t>
            </w:r>
          </w:p>
        </w:tc>
        <w:tc>
          <w:tcPr>
            <w:tcW w:w="1250" w:type="dxa"/>
          </w:tcPr>
          <w:p w14:paraId="7CEA8E0E" w14:textId="21D84596" w:rsidR="00795B34" w:rsidRDefault="00795B34" w:rsidP="00CF2DC8">
            <w:pPr>
              <w:pStyle w:val="TAR"/>
            </w:pPr>
            <w:r w:rsidRPr="007F78C1">
              <w:t>0.7</w:t>
            </w:r>
          </w:p>
        </w:tc>
        <w:tc>
          <w:tcPr>
            <w:tcW w:w="820" w:type="dxa"/>
          </w:tcPr>
          <w:p w14:paraId="29DD4C29" w14:textId="00F2480A" w:rsidR="00795B34" w:rsidRDefault="00795B34" w:rsidP="00CF2DC8">
            <w:pPr>
              <w:pStyle w:val="TAR"/>
            </w:pPr>
            <w:r w:rsidRPr="007F78C1">
              <w:t>3.2</w:t>
            </w:r>
          </w:p>
        </w:tc>
        <w:tc>
          <w:tcPr>
            <w:tcW w:w="1250" w:type="dxa"/>
          </w:tcPr>
          <w:p w14:paraId="547CAC3A" w14:textId="69C26080" w:rsidR="00795B34" w:rsidRDefault="00795B34" w:rsidP="00CF2DC8">
            <w:pPr>
              <w:pStyle w:val="TAR"/>
            </w:pPr>
            <w:r w:rsidRPr="007F78C1">
              <w:t>0.6</w:t>
            </w:r>
          </w:p>
        </w:tc>
      </w:tr>
      <w:tr w:rsidR="00795B34" w14:paraId="57B804DB" w14:textId="4DE820C2" w:rsidTr="00632C1E">
        <w:trPr>
          <w:jc w:val="center"/>
        </w:trPr>
        <w:tc>
          <w:tcPr>
            <w:tcW w:w="1464" w:type="dxa"/>
          </w:tcPr>
          <w:p w14:paraId="160D339D" w14:textId="60FD0988" w:rsidR="00795B34" w:rsidRDefault="00795B34" w:rsidP="00CF2DC8">
            <w:pPr>
              <w:pStyle w:val="TAR"/>
            </w:pPr>
            <w:r w:rsidRPr="007F78C1">
              <w:t>4000 MHz</w:t>
            </w:r>
          </w:p>
        </w:tc>
        <w:tc>
          <w:tcPr>
            <w:tcW w:w="831" w:type="dxa"/>
          </w:tcPr>
          <w:p w14:paraId="1381C02A" w14:textId="66639573" w:rsidR="00795B34" w:rsidRDefault="00795B34" w:rsidP="00CF2DC8">
            <w:pPr>
              <w:pStyle w:val="TAR"/>
            </w:pPr>
            <w:r w:rsidRPr="007F78C1">
              <w:t>6.7</w:t>
            </w:r>
          </w:p>
        </w:tc>
        <w:tc>
          <w:tcPr>
            <w:tcW w:w="1250" w:type="dxa"/>
          </w:tcPr>
          <w:p w14:paraId="73B5D296" w14:textId="15693DF6" w:rsidR="00795B34" w:rsidRDefault="00795B34" w:rsidP="00CF2DC8">
            <w:pPr>
              <w:pStyle w:val="TAR"/>
            </w:pPr>
            <w:r w:rsidRPr="007F78C1">
              <w:t>1.3</w:t>
            </w:r>
          </w:p>
        </w:tc>
        <w:tc>
          <w:tcPr>
            <w:tcW w:w="864" w:type="dxa"/>
          </w:tcPr>
          <w:p w14:paraId="04B2BAE1" w14:textId="2357708F" w:rsidR="00795B34" w:rsidRDefault="00795B34" w:rsidP="00CF2DC8">
            <w:pPr>
              <w:pStyle w:val="TAR"/>
            </w:pPr>
            <w:r w:rsidRPr="007F78C1">
              <w:t>5.1</w:t>
            </w:r>
          </w:p>
        </w:tc>
        <w:tc>
          <w:tcPr>
            <w:tcW w:w="1250" w:type="dxa"/>
          </w:tcPr>
          <w:p w14:paraId="5B723C46" w14:textId="6C85F550" w:rsidR="00795B34" w:rsidRDefault="00795B34" w:rsidP="00CF2DC8">
            <w:pPr>
              <w:pStyle w:val="TAR"/>
            </w:pPr>
            <w:r w:rsidRPr="007F78C1">
              <w:t>1.0</w:t>
            </w:r>
          </w:p>
        </w:tc>
        <w:tc>
          <w:tcPr>
            <w:tcW w:w="820" w:type="dxa"/>
          </w:tcPr>
          <w:p w14:paraId="31532D03" w14:textId="6A20F652" w:rsidR="00795B34" w:rsidRDefault="00795B34" w:rsidP="00CF2DC8">
            <w:pPr>
              <w:pStyle w:val="TAR"/>
            </w:pPr>
            <w:r w:rsidRPr="007F78C1">
              <w:t>3.8</w:t>
            </w:r>
          </w:p>
        </w:tc>
        <w:tc>
          <w:tcPr>
            <w:tcW w:w="1250" w:type="dxa"/>
          </w:tcPr>
          <w:p w14:paraId="5D3D9DB3" w14:textId="0D969629" w:rsidR="00795B34" w:rsidRDefault="00795B34" w:rsidP="00CF2DC8">
            <w:pPr>
              <w:pStyle w:val="TAR"/>
            </w:pPr>
            <w:r w:rsidRPr="007F78C1">
              <w:t>0.8</w:t>
            </w:r>
          </w:p>
        </w:tc>
      </w:tr>
      <w:tr w:rsidR="00795B34" w14:paraId="25EAD213" w14:textId="1FD7B319" w:rsidTr="00632C1E">
        <w:trPr>
          <w:jc w:val="center"/>
        </w:trPr>
        <w:tc>
          <w:tcPr>
            <w:tcW w:w="1464" w:type="dxa"/>
          </w:tcPr>
          <w:p w14:paraId="499F2B76" w14:textId="650B6BB9" w:rsidR="00795B34" w:rsidRDefault="00795B34" w:rsidP="00CF2DC8">
            <w:pPr>
              <w:pStyle w:val="TAR"/>
            </w:pPr>
            <w:r w:rsidRPr="007F78C1">
              <w:t>5000 MHz</w:t>
            </w:r>
          </w:p>
        </w:tc>
        <w:tc>
          <w:tcPr>
            <w:tcW w:w="831" w:type="dxa"/>
          </w:tcPr>
          <w:p w14:paraId="7A5328E7" w14:textId="02308754" w:rsidR="00795B34" w:rsidRDefault="00795B34" w:rsidP="00CF2DC8">
            <w:pPr>
              <w:pStyle w:val="TAR"/>
            </w:pPr>
            <w:r w:rsidRPr="007F78C1">
              <w:t>7.5</w:t>
            </w:r>
          </w:p>
        </w:tc>
        <w:tc>
          <w:tcPr>
            <w:tcW w:w="1250" w:type="dxa"/>
          </w:tcPr>
          <w:p w14:paraId="63551A5B" w14:textId="1AC4634E" w:rsidR="00795B34" w:rsidRDefault="00795B34" w:rsidP="00CF2DC8">
            <w:pPr>
              <w:pStyle w:val="TAR"/>
            </w:pPr>
            <w:r w:rsidRPr="007F78C1">
              <w:t>1.5</w:t>
            </w:r>
          </w:p>
        </w:tc>
        <w:tc>
          <w:tcPr>
            <w:tcW w:w="864" w:type="dxa"/>
          </w:tcPr>
          <w:p w14:paraId="265F0260" w14:textId="2D25A3AA" w:rsidR="00795B34" w:rsidRDefault="00795B34" w:rsidP="00CF2DC8">
            <w:pPr>
              <w:pStyle w:val="TAR"/>
            </w:pPr>
            <w:r w:rsidRPr="007F78C1">
              <w:t>5.4</w:t>
            </w:r>
          </w:p>
        </w:tc>
        <w:tc>
          <w:tcPr>
            <w:tcW w:w="1250" w:type="dxa"/>
          </w:tcPr>
          <w:p w14:paraId="516D34BF" w14:textId="18046FED" w:rsidR="00795B34" w:rsidRDefault="00795B34" w:rsidP="00CF2DC8">
            <w:pPr>
              <w:pStyle w:val="TAR"/>
            </w:pPr>
            <w:r w:rsidRPr="007F78C1">
              <w:t>1.1</w:t>
            </w:r>
          </w:p>
        </w:tc>
        <w:tc>
          <w:tcPr>
            <w:tcW w:w="820" w:type="dxa"/>
          </w:tcPr>
          <w:p w14:paraId="1C0E4192" w14:textId="7D468F4A" w:rsidR="00795B34" w:rsidRDefault="00795B34" w:rsidP="00CF2DC8">
            <w:pPr>
              <w:pStyle w:val="TAR"/>
            </w:pPr>
            <w:r w:rsidRPr="007F78C1">
              <w:t>4.4</w:t>
            </w:r>
          </w:p>
        </w:tc>
        <w:tc>
          <w:tcPr>
            <w:tcW w:w="1250" w:type="dxa"/>
          </w:tcPr>
          <w:p w14:paraId="30FE7C1B" w14:textId="16F412EE" w:rsidR="00795B34" w:rsidRDefault="00795B34" w:rsidP="00CF2DC8">
            <w:pPr>
              <w:pStyle w:val="TAR"/>
            </w:pPr>
            <w:r w:rsidRPr="007F78C1">
              <w:t>0.9</w:t>
            </w:r>
          </w:p>
        </w:tc>
      </w:tr>
      <w:tr w:rsidR="00795B34" w14:paraId="57CA63D2" w14:textId="77777777" w:rsidTr="00632C1E">
        <w:trPr>
          <w:jc w:val="center"/>
        </w:trPr>
        <w:tc>
          <w:tcPr>
            <w:tcW w:w="1464" w:type="dxa"/>
          </w:tcPr>
          <w:p w14:paraId="2455E566" w14:textId="2C86F07B" w:rsidR="00795B34" w:rsidRDefault="00795B34" w:rsidP="00CF2DC8">
            <w:pPr>
              <w:pStyle w:val="TAR"/>
            </w:pPr>
            <w:r w:rsidRPr="007F78C1">
              <w:t>6000 MHz</w:t>
            </w:r>
          </w:p>
        </w:tc>
        <w:tc>
          <w:tcPr>
            <w:tcW w:w="831" w:type="dxa"/>
          </w:tcPr>
          <w:p w14:paraId="0E4E3913" w14:textId="4FC4651E" w:rsidR="00795B34" w:rsidRDefault="00795B34" w:rsidP="00CF2DC8">
            <w:pPr>
              <w:pStyle w:val="TAR"/>
            </w:pPr>
            <w:r w:rsidRPr="007F78C1">
              <w:t>8.4</w:t>
            </w:r>
          </w:p>
        </w:tc>
        <w:tc>
          <w:tcPr>
            <w:tcW w:w="1250" w:type="dxa"/>
          </w:tcPr>
          <w:p w14:paraId="69F03829" w14:textId="3C67FFD9" w:rsidR="00795B34" w:rsidRDefault="00795B34" w:rsidP="00CF2DC8">
            <w:pPr>
              <w:pStyle w:val="TAR"/>
            </w:pPr>
            <w:r w:rsidRPr="007F78C1">
              <w:t>1.7</w:t>
            </w:r>
          </w:p>
        </w:tc>
        <w:tc>
          <w:tcPr>
            <w:tcW w:w="864" w:type="dxa"/>
          </w:tcPr>
          <w:p w14:paraId="743AC18D" w14:textId="7B3EB999" w:rsidR="00795B34" w:rsidRDefault="00795B34" w:rsidP="00CF2DC8">
            <w:pPr>
              <w:pStyle w:val="TAR"/>
            </w:pPr>
            <w:r w:rsidRPr="007F78C1">
              <w:t>6.7</w:t>
            </w:r>
          </w:p>
        </w:tc>
        <w:tc>
          <w:tcPr>
            <w:tcW w:w="1250" w:type="dxa"/>
          </w:tcPr>
          <w:p w14:paraId="0D203B82" w14:textId="3063202A" w:rsidR="00795B34" w:rsidRDefault="00795B34" w:rsidP="00CF2DC8">
            <w:pPr>
              <w:pStyle w:val="TAR"/>
            </w:pPr>
            <w:r w:rsidRPr="007F78C1">
              <w:t>1.3</w:t>
            </w:r>
          </w:p>
        </w:tc>
        <w:tc>
          <w:tcPr>
            <w:tcW w:w="820" w:type="dxa"/>
          </w:tcPr>
          <w:p w14:paraId="28979251" w14:textId="65D5AF37" w:rsidR="00795B34" w:rsidRDefault="00795B34" w:rsidP="00CF2DC8">
            <w:pPr>
              <w:pStyle w:val="TAR"/>
            </w:pPr>
            <w:r w:rsidRPr="007F78C1">
              <w:t>4.9</w:t>
            </w:r>
          </w:p>
        </w:tc>
        <w:tc>
          <w:tcPr>
            <w:tcW w:w="1250" w:type="dxa"/>
          </w:tcPr>
          <w:p w14:paraId="59D4E7B8" w14:textId="51AFC784" w:rsidR="00795B34" w:rsidRDefault="00795B34" w:rsidP="00CF2DC8">
            <w:pPr>
              <w:pStyle w:val="TAR"/>
            </w:pPr>
            <w:r w:rsidRPr="007F78C1">
              <w:t>1.0</w:t>
            </w:r>
          </w:p>
        </w:tc>
      </w:tr>
      <w:tr w:rsidR="00795B34" w14:paraId="0BA96EC5" w14:textId="77777777" w:rsidTr="00632C1E">
        <w:trPr>
          <w:jc w:val="center"/>
        </w:trPr>
        <w:tc>
          <w:tcPr>
            <w:tcW w:w="1464" w:type="dxa"/>
          </w:tcPr>
          <w:p w14:paraId="07FD07DD" w14:textId="77777777" w:rsidR="00795B34" w:rsidRDefault="00795B34" w:rsidP="00CF2DC8">
            <w:pPr>
              <w:pStyle w:val="TAR"/>
            </w:pPr>
          </w:p>
        </w:tc>
        <w:tc>
          <w:tcPr>
            <w:tcW w:w="831" w:type="dxa"/>
          </w:tcPr>
          <w:p w14:paraId="11234EE7" w14:textId="77777777" w:rsidR="00795B34" w:rsidRDefault="00795B34" w:rsidP="00CF2DC8">
            <w:pPr>
              <w:pStyle w:val="TAR"/>
            </w:pPr>
          </w:p>
        </w:tc>
        <w:tc>
          <w:tcPr>
            <w:tcW w:w="1250" w:type="dxa"/>
          </w:tcPr>
          <w:p w14:paraId="1296AE71" w14:textId="77777777" w:rsidR="00795B34" w:rsidRDefault="00795B34" w:rsidP="00CF2DC8">
            <w:pPr>
              <w:pStyle w:val="TAR"/>
            </w:pPr>
          </w:p>
        </w:tc>
        <w:tc>
          <w:tcPr>
            <w:tcW w:w="864" w:type="dxa"/>
          </w:tcPr>
          <w:p w14:paraId="5029DBA2" w14:textId="77777777" w:rsidR="00795B34" w:rsidRDefault="00795B34" w:rsidP="00CF2DC8">
            <w:pPr>
              <w:pStyle w:val="TAR"/>
            </w:pPr>
          </w:p>
        </w:tc>
        <w:tc>
          <w:tcPr>
            <w:tcW w:w="1250" w:type="dxa"/>
          </w:tcPr>
          <w:p w14:paraId="70DBAFD7" w14:textId="77777777" w:rsidR="00795B34" w:rsidRDefault="00795B34" w:rsidP="00CF2DC8">
            <w:pPr>
              <w:pStyle w:val="TAR"/>
            </w:pPr>
          </w:p>
        </w:tc>
        <w:tc>
          <w:tcPr>
            <w:tcW w:w="820" w:type="dxa"/>
          </w:tcPr>
          <w:p w14:paraId="36F5C1B8" w14:textId="77777777" w:rsidR="00795B34" w:rsidRDefault="00795B34" w:rsidP="00CF2DC8">
            <w:pPr>
              <w:pStyle w:val="TAR"/>
            </w:pPr>
          </w:p>
        </w:tc>
        <w:tc>
          <w:tcPr>
            <w:tcW w:w="1250" w:type="dxa"/>
          </w:tcPr>
          <w:p w14:paraId="0D157801" w14:textId="77777777" w:rsidR="00795B34" w:rsidRDefault="00795B34" w:rsidP="00CF2DC8">
            <w:pPr>
              <w:pStyle w:val="TAR"/>
            </w:pPr>
          </w:p>
        </w:tc>
      </w:tr>
      <w:tr w:rsidR="00795B34" w14:paraId="6F329C05" w14:textId="77777777" w:rsidTr="00632C1E">
        <w:trPr>
          <w:jc w:val="center"/>
        </w:trPr>
        <w:tc>
          <w:tcPr>
            <w:tcW w:w="1464" w:type="dxa"/>
          </w:tcPr>
          <w:p w14:paraId="7DA0CFD7" w14:textId="63126576" w:rsidR="00795B34" w:rsidRDefault="00795B34" w:rsidP="00CF2DC8">
            <w:pPr>
              <w:pStyle w:val="TAR"/>
            </w:pPr>
            <w:r w:rsidRPr="006528F9">
              <w:t>Avg. cable jacket diameter (mm)</w:t>
            </w:r>
          </w:p>
        </w:tc>
        <w:tc>
          <w:tcPr>
            <w:tcW w:w="2081" w:type="dxa"/>
            <w:gridSpan w:val="2"/>
          </w:tcPr>
          <w:p w14:paraId="7D2AF008" w14:textId="7C3FE4C4" w:rsidR="00795B34" w:rsidRDefault="00795B34" w:rsidP="00CF2DC8">
            <w:pPr>
              <w:pStyle w:val="TAR"/>
            </w:pPr>
            <w:r>
              <w:t>0.81</w:t>
            </w:r>
          </w:p>
        </w:tc>
        <w:tc>
          <w:tcPr>
            <w:tcW w:w="2114" w:type="dxa"/>
            <w:gridSpan w:val="2"/>
          </w:tcPr>
          <w:p w14:paraId="1568AE49" w14:textId="19070A3B" w:rsidR="00795B34" w:rsidRDefault="00795B34" w:rsidP="00CF2DC8">
            <w:pPr>
              <w:pStyle w:val="TAR"/>
            </w:pPr>
            <w:r>
              <w:t>1.32</w:t>
            </w:r>
          </w:p>
        </w:tc>
        <w:tc>
          <w:tcPr>
            <w:tcW w:w="2070" w:type="dxa"/>
            <w:gridSpan w:val="2"/>
          </w:tcPr>
          <w:p w14:paraId="5D826A3D" w14:textId="778FF125" w:rsidR="00795B34" w:rsidRDefault="00795B34" w:rsidP="00CF2DC8">
            <w:pPr>
              <w:pStyle w:val="TAR"/>
            </w:pPr>
            <w:r>
              <w:t>1.48</w:t>
            </w:r>
          </w:p>
        </w:tc>
      </w:tr>
    </w:tbl>
    <w:p w14:paraId="155AD638" w14:textId="77777777" w:rsidR="00CF2DC8" w:rsidRDefault="00CF2DC8" w:rsidP="006B7323"/>
    <w:p w14:paraId="70446860" w14:textId="77777777" w:rsidR="00241006" w:rsidRDefault="00241006" w:rsidP="006B7323">
      <w:r>
        <w:t>There are some useful observations that can be made from this data:</w:t>
      </w:r>
    </w:p>
    <w:p w14:paraId="76A23678" w14:textId="587BF9CE" w:rsidR="000A1B0D" w:rsidRDefault="00241006" w:rsidP="00241006">
      <w:pPr>
        <w:pStyle w:val="B10"/>
      </w:pPr>
      <w:r>
        <w:t>-</w:t>
      </w:r>
      <w:r>
        <w:tab/>
        <w:t xml:space="preserve">At least according to </w:t>
      </w:r>
      <w:r>
        <w:fldChar w:fldCharType="begin"/>
      </w:r>
      <w:r>
        <w:instrText xml:space="preserve"> REF _Ref157761909 \r \h </w:instrText>
      </w:r>
      <w:r>
        <w:fldChar w:fldCharType="separate"/>
      </w:r>
      <w:r w:rsidR="00632C1E">
        <w:t>[8]</w:t>
      </w:r>
      <w:r>
        <w:fldChar w:fldCharType="end"/>
      </w:r>
      <w:r>
        <w:t xml:space="preserve">, </w:t>
      </w:r>
      <w:r w:rsidR="003A2CEE">
        <w:t>all of the potential antennas in the form factor need to be fed by a significant length of cable; we chose 200mm as an exemplary length, considering the width of the typical human face plus some additional distance for routing to the antennas and modem</w:t>
      </w:r>
    </w:p>
    <w:p w14:paraId="06E74742" w14:textId="414177F7" w:rsidR="003A2CEE" w:rsidRDefault="003A2CEE" w:rsidP="00241006">
      <w:pPr>
        <w:pStyle w:val="B10"/>
      </w:pPr>
      <w:r>
        <w:t>-</w:t>
      </w:r>
      <w:r>
        <w:tab/>
        <w:t xml:space="preserve">Referring to publicly available data of smartphone dimensions, the large sized devices typically have a diagonal dimension of approximately 180mm.  As shown in </w:t>
      </w:r>
      <w:r>
        <w:fldChar w:fldCharType="begin"/>
      </w:r>
      <w:r>
        <w:instrText xml:space="preserve"> REF _Ref157762120 \r \h </w:instrText>
      </w:r>
      <w:r>
        <w:fldChar w:fldCharType="separate"/>
      </w:r>
      <w:r w:rsidR="00632C1E">
        <w:t>[9]</w:t>
      </w:r>
      <w:r>
        <w:fldChar w:fldCharType="end"/>
      </w:r>
      <w:r>
        <w:t xml:space="preserve">, the </w:t>
      </w:r>
      <w:r w:rsidR="001E2E6E">
        <w:t xml:space="preserve">antennas in a </w:t>
      </w:r>
      <w:r>
        <w:t xml:space="preserve">smartphone </w:t>
      </w:r>
      <w:r w:rsidR="001E2E6E">
        <w:t>tend to be</w:t>
      </w:r>
      <w:r>
        <w:t xml:space="preserve"> distributed around the form factor, thereby resulting in some antennas fed by cable lengths significantly shorter than this maximal </w:t>
      </w:r>
      <w:proofErr w:type="gramStart"/>
      <w:r>
        <w:t>dimension</w:t>
      </w:r>
      <w:proofErr w:type="gramEnd"/>
    </w:p>
    <w:p w14:paraId="5781A64A" w14:textId="4CDFEF81" w:rsidR="003A2CEE" w:rsidRDefault="003A2CEE" w:rsidP="00241006">
      <w:pPr>
        <w:pStyle w:val="B10"/>
      </w:pPr>
      <w:r>
        <w:t>-</w:t>
      </w:r>
      <w:r>
        <w:tab/>
        <w:t>Routing cable through hinges or other narrow spaces in a form factor is a significant engineering challenge, and typically smaller diameter cable is chosen for the job.  As shown in Table 2, a trend of increasing insertion loss vs. decreasing cable diameter is observed.</w:t>
      </w:r>
    </w:p>
    <w:p w14:paraId="6B8ED810" w14:textId="77777777" w:rsidR="00241006" w:rsidRDefault="00241006" w:rsidP="006B7323"/>
    <w:p w14:paraId="2266B860" w14:textId="50D00215" w:rsidR="00795B34" w:rsidRDefault="00795B34" w:rsidP="00795B34">
      <w:r>
        <w:t xml:space="preserve">According to our understanding, the XR device </w:t>
      </w:r>
      <w:proofErr w:type="gramStart"/>
      <w:r>
        <w:t>has to</w:t>
      </w:r>
      <w:proofErr w:type="gramEnd"/>
      <w:r>
        <w:t xml:space="preserve"> implement many functional components in a limited form factor, including screens, chips, cameras, and sensors</w:t>
      </w:r>
      <w:r w:rsidR="00816D39">
        <w:t xml:space="preserve"> </w:t>
      </w:r>
      <w:r w:rsidR="00816D39">
        <w:fldChar w:fldCharType="begin"/>
      </w:r>
      <w:r w:rsidR="00816D39">
        <w:instrText xml:space="preserve"> REF _Ref158232247 \r \h </w:instrText>
      </w:r>
      <w:r w:rsidR="00816D39">
        <w:fldChar w:fldCharType="separate"/>
      </w:r>
      <w:r w:rsidR="00816D39">
        <w:t>[12]</w:t>
      </w:r>
      <w:r w:rsidR="00816D39">
        <w:fldChar w:fldCharType="end"/>
      </w:r>
      <w:r>
        <w:t xml:space="preserve">.  Thus, the challenge to support cellular functions with 2 RX is already </w:t>
      </w:r>
      <w:proofErr w:type="gramStart"/>
      <w:r>
        <w:t>challenging in its own right</w:t>
      </w:r>
      <w:proofErr w:type="gramEnd"/>
      <w:r>
        <w:t>.  At the initial stage of XR commercialization, it is likely that no dedicated RF transceiver with performance optimization is implemented in XR devices.  With the possible larger routing losses between antenna ports and transceivers, the receiver sensitivity performance may degrade, let alone any improvement needed to tighten the requirements.</w:t>
      </w:r>
    </w:p>
    <w:p w14:paraId="2524CA9C" w14:textId="77777777" w:rsidR="00795B34" w:rsidRDefault="00795B34" w:rsidP="006B7323"/>
    <w:p w14:paraId="6905FF43" w14:textId="3FDC4824" w:rsidR="0003192A" w:rsidRDefault="0003192A" w:rsidP="0003192A">
      <w:pPr>
        <w:pStyle w:val="Observation"/>
      </w:pPr>
      <w:bookmarkStart w:id="2" w:name="_Toc157766526"/>
      <w:bookmarkStart w:id="3" w:name="_Toc158230793"/>
      <w:r>
        <w:t>Observation 1:</w:t>
      </w:r>
      <w:r>
        <w:tab/>
        <w:t>Considering the extensive history of assumptions on NF and IM made by RAN4 when deriving REFSENS and some preliminary RF front end considerations of the new XR wearable form factor, there does not seem to be a strong technical justification to tighten the 2Rx REFSENS value for 2Rx wearable devices</w:t>
      </w:r>
      <w:r w:rsidR="004039C0">
        <w:t>.</w:t>
      </w:r>
      <w:bookmarkEnd w:id="2"/>
      <w:bookmarkEnd w:id="3"/>
    </w:p>
    <w:p w14:paraId="2EC7ED90" w14:textId="3ABD9B64" w:rsidR="00FF1985" w:rsidRPr="00FF1985" w:rsidRDefault="00FF1985" w:rsidP="00FF1985">
      <w:pPr>
        <w:pStyle w:val="Heading2"/>
      </w:pPr>
      <w:r>
        <w:t>2.2</w:t>
      </w:r>
      <w:r>
        <w:tab/>
        <w:t>OTA aspects</w:t>
      </w:r>
    </w:p>
    <w:p w14:paraId="18E0BC45" w14:textId="0734F63C" w:rsidR="00393EA8" w:rsidRDefault="00D4002E" w:rsidP="00853C02">
      <w:r>
        <w:t>With the introduction of the new XR wearable device type, the radiated performance test procedure and associated requirements need to be developed by RAN4.</w:t>
      </w:r>
      <w:r w:rsidR="00853C02">
        <w:t xml:space="preserve">  </w:t>
      </w:r>
      <w:r w:rsidR="00393EA8">
        <w:t>Potential enhancements to</w:t>
      </w:r>
      <w:r w:rsidR="00853C02" w:rsidRPr="00853C02">
        <w:t xml:space="preserve"> TRP/TRS test method</w:t>
      </w:r>
      <w:r w:rsidR="006B0A20">
        <w:t xml:space="preserve"> </w:t>
      </w:r>
      <w:r w:rsidR="00393EA8">
        <w:t>include the following:</w:t>
      </w:r>
    </w:p>
    <w:p w14:paraId="2464CEFA" w14:textId="4F30022A" w:rsidR="00393EA8" w:rsidRDefault="00393EA8" w:rsidP="00393EA8">
      <w:pPr>
        <w:pStyle w:val="B10"/>
      </w:pPr>
      <w:r>
        <w:t>-</w:t>
      </w:r>
      <w:r>
        <w:tab/>
        <w:t>W</w:t>
      </w:r>
      <w:r w:rsidRPr="00393EA8">
        <w:t>hether head phantoms currently used for handset OTA in the talk mode could be reused</w:t>
      </w:r>
      <w:r>
        <w:t xml:space="preserve"> or if new head phantom requirements need to be introduced</w:t>
      </w:r>
    </w:p>
    <w:p w14:paraId="64B4537E" w14:textId="2360CB38" w:rsidR="00393EA8" w:rsidRDefault="00393EA8" w:rsidP="00393EA8">
      <w:pPr>
        <w:pStyle w:val="B10"/>
      </w:pPr>
      <w:r>
        <w:t>-</w:t>
      </w:r>
      <w:r>
        <w:tab/>
        <w:t>Specify DUT positioning guidelines</w:t>
      </w:r>
    </w:p>
    <w:p w14:paraId="44636507" w14:textId="5F298F20" w:rsidR="00393EA8" w:rsidRDefault="00393EA8" w:rsidP="00393EA8">
      <w:pPr>
        <w:pStyle w:val="B10"/>
      </w:pPr>
      <w:r>
        <w:t>-</w:t>
      </w:r>
      <w:r>
        <w:tab/>
        <w:t>Adapt the TRP/TRS test metric to the head-worn scenario</w:t>
      </w:r>
    </w:p>
    <w:p w14:paraId="5187ECA8" w14:textId="6606059E" w:rsidR="00260735" w:rsidRDefault="00260735" w:rsidP="00393EA8">
      <w:pPr>
        <w:pStyle w:val="B10"/>
      </w:pPr>
      <w:r>
        <w:t>-</w:t>
      </w:r>
      <w:r>
        <w:tab/>
        <w:t>Define the test procedure</w:t>
      </w:r>
    </w:p>
    <w:p w14:paraId="2919BDCC" w14:textId="2D37DB82" w:rsidR="00393EA8" w:rsidRDefault="00393EA8" w:rsidP="00393EA8">
      <w:pPr>
        <w:pStyle w:val="B10"/>
      </w:pPr>
      <w:r>
        <w:t>-</w:t>
      </w:r>
      <w:r>
        <w:tab/>
        <w:t>Develop the preliminary measurement uncertainty budget</w:t>
      </w:r>
    </w:p>
    <w:p w14:paraId="15B49EBD" w14:textId="77777777" w:rsidR="00393EA8" w:rsidRDefault="00393EA8" w:rsidP="00853C02"/>
    <w:p w14:paraId="4F710D0D" w14:textId="410F052F" w:rsidR="00853C02" w:rsidRDefault="002E42AD" w:rsidP="00853C02">
      <w:r>
        <w:t>The development of OTA performance requirements for XR wearable devices is anticipated to follow the OTA requirement development framework established for NR handset UEs in Rel-17 and Rel-18.</w:t>
      </w:r>
      <w:r w:rsidR="00D2614D">
        <w:t xml:space="preserve">  This framework consists of the following high-level objectives:</w:t>
      </w:r>
    </w:p>
    <w:p w14:paraId="718C0CD3" w14:textId="40E9EAF0" w:rsidR="00D2614D" w:rsidRDefault="00D2614D" w:rsidP="00D2614D">
      <w:pPr>
        <w:pStyle w:val="B10"/>
      </w:pPr>
      <w:r>
        <w:t>-</w:t>
      </w:r>
      <w:r>
        <w:tab/>
        <w:t>Identify volunteer test labs and a set of lab alignment devices</w:t>
      </w:r>
    </w:p>
    <w:p w14:paraId="7B0AC434" w14:textId="0F2334D4" w:rsidR="00260735" w:rsidRDefault="00D2614D" w:rsidP="00D2614D">
      <w:pPr>
        <w:pStyle w:val="B10"/>
      </w:pPr>
      <w:r>
        <w:lastRenderedPageBreak/>
        <w:t>-</w:t>
      </w:r>
      <w:r>
        <w:tab/>
        <w:t xml:space="preserve">Perform a lab alignment campaign </w:t>
      </w:r>
      <w:r w:rsidR="00260735">
        <w:t>by measuring the alignment devices in each lab according to the specified test procedure</w:t>
      </w:r>
    </w:p>
    <w:p w14:paraId="5B5A17B3" w14:textId="2A69FE38" w:rsidR="00D2614D" w:rsidRDefault="00260735" w:rsidP="00D2614D">
      <w:pPr>
        <w:pStyle w:val="B10"/>
      </w:pPr>
      <w:r>
        <w:t>-</w:t>
      </w:r>
      <w:r>
        <w:tab/>
        <w:t>Q</w:t>
      </w:r>
      <w:r w:rsidR="00D2614D">
        <w:t xml:space="preserve">uantify each lab’s alignment </w:t>
      </w:r>
      <w:r>
        <w:t>outcome</w:t>
      </w:r>
      <w:r w:rsidR="00D2614D">
        <w:t xml:space="preserve"> based on whether the deviation of results measured in the lab is within </w:t>
      </w:r>
      <w:r w:rsidR="006B0A20">
        <w:t>a bound derived from the preliminary measurement uncertainty budget</w:t>
      </w:r>
    </w:p>
    <w:p w14:paraId="6FEC567F" w14:textId="58A020D6" w:rsidR="00D2614D" w:rsidRDefault="00D2614D" w:rsidP="00D2614D">
      <w:pPr>
        <w:pStyle w:val="B10"/>
      </w:pPr>
      <w:r>
        <w:t>-</w:t>
      </w:r>
      <w:r>
        <w:tab/>
      </w:r>
      <w:r w:rsidR="00B46CCE">
        <w:t>In a contribution-driven manner, only aligned labs select a pool of commercially available devices, measure their radiated performance, and submit an anonymized set of results to RAN4</w:t>
      </w:r>
    </w:p>
    <w:p w14:paraId="55D76076" w14:textId="3DD062EF" w:rsidR="00B46CCE" w:rsidRDefault="00B46CCE" w:rsidP="00D2614D">
      <w:pPr>
        <w:pStyle w:val="B10"/>
      </w:pPr>
      <w:r>
        <w:t>-</w:t>
      </w:r>
      <w:r>
        <w:tab/>
        <w:t>RAN4 aggregates the measured data and specifies the OTA requirement based on the data</w:t>
      </w:r>
    </w:p>
    <w:p w14:paraId="4D3632BD" w14:textId="77777777" w:rsidR="00D2614D" w:rsidRDefault="00D2614D" w:rsidP="00853C02"/>
    <w:p w14:paraId="7A1177F8" w14:textId="3C07B974" w:rsidR="00FF1985" w:rsidRDefault="00B46CCE" w:rsidP="006B7323">
      <w:r>
        <w:t>Figure 4 below illustrates the Rapporteur’s summary of the data from the Rel-17 OTA performance campaign</w:t>
      </w:r>
      <w:r w:rsidR="00657667">
        <w:t xml:space="preserve"> </w:t>
      </w:r>
      <w:r w:rsidR="00657667">
        <w:fldChar w:fldCharType="begin"/>
      </w:r>
      <w:r w:rsidR="00657667">
        <w:instrText xml:space="preserve"> REF _Ref157761102 \r \h </w:instrText>
      </w:r>
      <w:r w:rsidR="00657667">
        <w:fldChar w:fldCharType="separate"/>
      </w:r>
      <w:r w:rsidR="00632C1E">
        <w:t>[8]</w:t>
      </w:r>
      <w:r w:rsidR="00657667">
        <w:fldChar w:fldCharType="end"/>
      </w:r>
      <w:r>
        <w:t>.</w:t>
      </w:r>
    </w:p>
    <w:p w14:paraId="4A08AA57" w14:textId="77777777" w:rsidR="003C4BED" w:rsidRDefault="003C4BED" w:rsidP="006B7323"/>
    <w:p w14:paraId="791809E7" w14:textId="45A1243B" w:rsidR="008D56C7" w:rsidRDefault="008D56C7" w:rsidP="004E7CE9">
      <w:pPr>
        <w:jc w:val="center"/>
      </w:pPr>
      <w:r w:rsidRPr="008D56C7">
        <w:rPr>
          <w:noProof/>
        </w:rPr>
        <w:drawing>
          <wp:inline distT="0" distB="0" distL="0" distR="0" wp14:anchorId="51F7D5FB" wp14:editId="5DD72221">
            <wp:extent cx="3657600" cy="5877742"/>
            <wp:effectExtent l="0" t="0" r="0" b="2540"/>
            <wp:docPr id="3832434"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2434" name="Picture 1" descr="A screenshot of a graph&#10;&#10;Description automatically generated"/>
                    <pic:cNvPicPr/>
                  </pic:nvPicPr>
                  <pic:blipFill>
                    <a:blip r:embed="rId20"/>
                    <a:stretch>
                      <a:fillRect/>
                    </a:stretch>
                  </pic:blipFill>
                  <pic:spPr>
                    <a:xfrm>
                      <a:off x="0" y="0"/>
                      <a:ext cx="3657600" cy="5877742"/>
                    </a:xfrm>
                    <a:prstGeom prst="rect">
                      <a:avLst/>
                    </a:prstGeom>
                  </pic:spPr>
                </pic:pic>
              </a:graphicData>
            </a:graphic>
          </wp:inline>
        </w:drawing>
      </w:r>
    </w:p>
    <w:p w14:paraId="0312CAB0" w14:textId="4FEE0F56" w:rsidR="00B3628F" w:rsidRDefault="00B3628F" w:rsidP="00B3628F">
      <w:pPr>
        <w:pStyle w:val="TF"/>
      </w:pPr>
      <w:r>
        <w:t xml:space="preserve">Figure </w:t>
      </w:r>
      <w:r w:rsidR="00B46CCE">
        <w:t>4</w:t>
      </w:r>
      <w:r>
        <w:t xml:space="preserve">: Rapporteur’s summary of </w:t>
      </w:r>
      <w:r w:rsidR="00420407">
        <w:t>OTA</w:t>
      </w:r>
      <w:r>
        <w:t xml:space="preserve"> data used to specify Rel-17 TRP/TRS requirements</w:t>
      </w:r>
      <w:r w:rsidR="00D73A84">
        <w:t xml:space="preserve"> </w:t>
      </w:r>
      <w:r w:rsidR="00D73A84">
        <w:fldChar w:fldCharType="begin"/>
      </w:r>
      <w:r w:rsidR="00D73A84">
        <w:instrText xml:space="preserve"> REF _Ref157761917 \r \h </w:instrText>
      </w:r>
      <w:r w:rsidR="00D73A84">
        <w:fldChar w:fldCharType="separate"/>
      </w:r>
      <w:r w:rsidR="00632C1E">
        <w:t>[10]</w:t>
      </w:r>
      <w:r w:rsidR="00D73A84">
        <w:fldChar w:fldCharType="end"/>
      </w:r>
    </w:p>
    <w:p w14:paraId="13E62A00" w14:textId="77777777" w:rsidR="008D56C7" w:rsidRDefault="008D56C7" w:rsidP="006B7323"/>
    <w:p w14:paraId="4EF041A4" w14:textId="5F6E0A02" w:rsidR="00B83E32" w:rsidRDefault="006B0A20" w:rsidP="000C1B0C">
      <w:r>
        <w:t xml:space="preserve">From a practical perspective, we observe that </w:t>
      </w:r>
      <w:proofErr w:type="gramStart"/>
      <w:r>
        <w:t>in order to</w:t>
      </w:r>
      <w:proofErr w:type="gramEnd"/>
      <w:r>
        <w:t xml:space="preserve"> specify an OTA requirement based on measured data, a statistically significant sample size of DUTs is necessary.  </w:t>
      </w:r>
      <w:r w:rsidR="00ED7B47">
        <w:t>It seems unlikely that enough different XR wearable device models will become commercially available during 2024-2025, and we anticipate that the performance part of the OTA work related to XR wearable devices will need to be postponed to a later release.</w:t>
      </w:r>
    </w:p>
    <w:p w14:paraId="05A83995" w14:textId="77777777" w:rsidR="00ED7B47" w:rsidRDefault="00ED7B47" w:rsidP="000C1B0C"/>
    <w:p w14:paraId="69A2808B" w14:textId="5C003E39" w:rsidR="000C1B0C" w:rsidRDefault="004E2E65" w:rsidP="000C1B0C">
      <w:r>
        <w:t xml:space="preserve">The RAN Task </w:t>
      </w:r>
      <w:r>
        <w:fldChar w:fldCharType="begin"/>
      </w:r>
      <w:r>
        <w:instrText xml:space="preserve"> REF _Ref157695771 \r \h </w:instrText>
      </w:r>
      <w:r>
        <w:fldChar w:fldCharType="separate"/>
      </w:r>
      <w:r w:rsidR="00632C1E">
        <w:t>[3]</w:t>
      </w:r>
      <w:r>
        <w:fldChar w:fldCharType="end"/>
      </w:r>
      <w:r>
        <w:t xml:space="preserve"> instructs RAN4 to provide OTA considerations in the context of the performance of 2Rx XR devices.  We recognize that RAN stopped short of asking RAN4 to provide feasible OTA performance </w:t>
      </w:r>
      <w:proofErr w:type="gramStart"/>
      <w:r>
        <w:t>values;  nonetheless</w:t>
      </w:r>
      <w:proofErr w:type="gramEnd"/>
      <w:r>
        <w:t xml:space="preserve">, it is valuable to seek any possible consideration that could alleviate operator concerns associated with the </w:t>
      </w:r>
      <w:r>
        <w:lastRenderedPageBreak/>
        <w:t>potential 2Rx relaxation for such devices.</w:t>
      </w:r>
      <w:r w:rsidR="00D46630">
        <w:t xml:space="preserve">  While we agree that without a data-driven effort to quantify the radiated pass/fail limits for 2Rx wearable devices it is not possible to determine a minimum radiated performance value at this time, it might be possible to enhance the OTA requirement framework for XR devices.  Recognizing that OTA requirements are typically used by operators as a reference RF parameter in their cell planning, one way to alleviate operator concerns is for RAN4 to discuss</w:t>
      </w:r>
      <w:r w:rsidR="000C1B0C">
        <w:t xml:space="preserve"> whether a single OTA requirement for XR wearables can be defined, regardless of the number of Rx antennas used in the device</w:t>
      </w:r>
      <w:r w:rsidR="00D46630">
        <w:t xml:space="preserve">.  </w:t>
      </w:r>
      <w:proofErr w:type="gramStart"/>
      <w:r w:rsidR="00D46630">
        <w:t>Referring back</w:t>
      </w:r>
      <w:proofErr w:type="gramEnd"/>
      <w:r w:rsidR="00D46630">
        <w:t xml:space="preserve"> to the CDFs in the TRP/TRS Rapporteur’s summary </w:t>
      </w:r>
      <w:r w:rsidR="00D46630">
        <w:fldChar w:fldCharType="begin"/>
      </w:r>
      <w:r w:rsidR="00D46630">
        <w:instrText xml:space="preserve"> REF _Ref157762120 \r \h </w:instrText>
      </w:r>
      <w:r w:rsidR="00D46630">
        <w:fldChar w:fldCharType="separate"/>
      </w:r>
      <w:r w:rsidR="00632C1E">
        <w:t>[9]</w:t>
      </w:r>
      <w:r w:rsidR="00D46630">
        <w:fldChar w:fldCharType="end"/>
      </w:r>
      <w:r w:rsidR="00D46630">
        <w:t>, we can imagine constructing the OTA data pool out of a mix of 2Rx and 4Rx XR wearable devices.  This would have the effect of a market-driven tightening of the radiated performance of the 2Rx device, depending on the relative mix of 2Rx and 4Rx devices in the data pool.</w:t>
      </w:r>
    </w:p>
    <w:p w14:paraId="25EDFA21" w14:textId="77777777" w:rsidR="00C8270F" w:rsidRDefault="00C8270F" w:rsidP="006B7323"/>
    <w:p w14:paraId="4E418109" w14:textId="28B77DC2" w:rsidR="00C8270F" w:rsidRDefault="00C8270F" w:rsidP="00C8270F">
      <w:pPr>
        <w:pStyle w:val="Observation"/>
      </w:pPr>
      <w:bookmarkStart w:id="4" w:name="_Toc146706063"/>
      <w:bookmarkStart w:id="5" w:name="_Toc146711228"/>
      <w:bookmarkStart w:id="6" w:name="_Toc156897705"/>
      <w:bookmarkStart w:id="7" w:name="_Toc157669028"/>
      <w:bookmarkStart w:id="8" w:name="_Toc157690734"/>
      <w:bookmarkStart w:id="9" w:name="_Toc157695755"/>
      <w:bookmarkStart w:id="10" w:name="_Toc157695792"/>
      <w:bookmarkStart w:id="11" w:name="_Toc157761919"/>
      <w:bookmarkStart w:id="12" w:name="_Toc157766527"/>
      <w:bookmarkStart w:id="13" w:name="_Toc158230794"/>
      <w:r>
        <w:t xml:space="preserve">Observation </w:t>
      </w:r>
      <w:r w:rsidR="004F09B5">
        <w:t>2</w:t>
      </w:r>
      <w:r>
        <w:t>:</w:t>
      </w:r>
      <w:r>
        <w:tab/>
      </w:r>
      <w:bookmarkEnd w:id="4"/>
      <w:bookmarkEnd w:id="5"/>
      <w:bookmarkEnd w:id="6"/>
      <w:bookmarkEnd w:id="7"/>
      <w:bookmarkEnd w:id="8"/>
      <w:bookmarkEnd w:id="9"/>
      <w:bookmarkEnd w:id="10"/>
      <w:bookmarkEnd w:id="11"/>
      <w:r w:rsidR="00AF3D4D">
        <w:t xml:space="preserve">Based on further guidance by RAN, it is feasible for RAN4 to begin the effort to define the test methodology aspects for the radiated testing of XR wearable devices.  Because RAN4 develops OTA performance requirements based on measured data of commercially available devices, this effort should be postponed until a later release.  To alleviate operator concerns with the coverage of 2Rx XR wearable devices, </w:t>
      </w:r>
      <w:r w:rsidR="00AF3D4D" w:rsidRPr="00AF3D4D">
        <w:t xml:space="preserve">RAN4 </w:t>
      </w:r>
      <w:r w:rsidR="00AF3D4D">
        <w:t>should</w:t>
      </w:r>
      <w:r w:rsidR="00AF3D4D" w:rsidRPr="00AF3D4D">
        <w:t xml:space="preserve"> discuss whether a single OTA requirement for XR wearables can be defined, regardless of the number of Rx antennas used in the device</w:t>
      </w:r>
      <w:r w:rsidR="00AF3D4D">
        <w:t>.</w:t>
      </w:r>
      <w:bookmarkEnd w:id="12"/>
      <w:bookmarkEnd w:id="13"/>
    </w:p>
    <w:p w14:paraId="6BAD00A3" w14:textId="1FF4CD46" w:rsidR="00FF1985" w:rsidRPr="00FF1985" w:rsidRDefault="00FF1985" w:rsidP="00FF1985">
      <w:pPr>
        <w:pStyle w:val="Heading2"/>
      </w:pPr>
      <w:r>
        <w:t>2.3</w:t>
      </w:r>
      <w:r>
        <w:tab/>
        <w:t xml:space="preserve">Recommended </w:t>
      </w:r>
      <w:r w:rsidR="00607992">
        <w:t xml:space="preserve">next </w:t>
      </w:r>
      <w:proofErr w:type="gramStart"/>
      <w:r w:rsidR="00607992">
        <w:t>steps</w:t>
      </w:r>
      <w:proofErr w:type="gramEnd"/>
    </w:p>
    <w:p w14:paraId="62AB282F" w14:textId="5786990F" w:rsidR="007D4BDF" w:rsidRDefault="00E900E6" w:rsidP="004F09B5">
      <w:r>
        <w:t xml:space="preserve">A change to TS38.101-1 by RAN4 can </w:t>
      </w:r>
      <w:r w:rsidR="000C5F18">
        <w:t>enable the development of 2Rx wearable devices in the industry.  This can be achieved by implementing the definition of the “</w:t>
      </w:r>
      <w:r w:rsidR="000C5F18" w:rsidRPr="000C5F18">
        <w:t>2Rx non-REDCAP XR</w:t>
      </w:r>
      <w:r w:rsidR="000C5F18">
        <w:t>”</w:t>
      </w:r>
      <w:r w:rsidR="004B36C7">
        <w:t xml:space="preserve"> UE</w:t>
      </w:r>
      <w:r w:rsidR="000C5F18">
        <w:t xml:space="preserve"> and the applicability of the 2Rx REFSENS requirements to such UEs in TS38.101-1.  Since RAN has already agreed the definition of the device, it can be captured directly in the definitions section of TS38.101-1.  Based on Observation 1, the 2Rx requirements can be made applicable to 2Rx non-REDCAP XR devices, and NOTE 1 </w:t>
      </w:r>
      <w:r w:rsidR="004B36C7">
        <w:t>to</w:t>
      </w:r>
      <w:r w:rsidR="000C5F18">
        <w:t xml:space="preserve"> Tables </w:t>
      </w:r>
      <w:r w:rsidR="000C5F18" w:rsidRPr="000C5F18">
        <w:t>7.3.2-1a</w:t>
      </w:r>
      <w:r w:rsidR="000C5F18">
        <w:t xml:space="preserve"> and </w:t>
      </w:r>
      <w:r w:rsidR="000C5F18" w:rsidRPr="000C5F18">
        <w:t>7.3.2-1</w:t>
      </w:r>
      <w:r w:rsidR="000C5F18">
        <w:t>b</w:t>
      </w:r>
      <w:r w:rsidR="00C9701E">
        <w:t xml:space="preserve"> should be updated as follows:</w:t>
      </w:r>
    </w:p>
    <w:p w14:paraId="59E4B0B0" w14:textId="77777777" w:rsidR="00C9701E" w:rsidRDefault="00C9701E" w:rsidP="00C9701E"/>
    <w:p w14:paraId="24DCDDAF" w14:textId="4D99555F" w:rsidR="00C9701E" w:rsidRDefault="00C9701E" w:rsidP="00C9701E">
      <w:pPr>
        <w:pStyle w:val="B10"/>
      </w:pPr>
      <w:r>
        <w:t xml:space="preserve">NOTE 1: Four Rx antenna ports shall be the baseline for this operating band except for two Rx vehicular UE and 2Rx non-REDCAP XR UE. Four Rx antenna ports for </w:t>
      </w:r>
      <w:proofErr w:type="spellStart"/>
      <w:r>
        <w:t>RedCap</w:t>
      </w:r>
      <w:proofErr w:type="spellEnd"/>
      <w:r>
        <w:t xml:space="preserve"> UE is not supported for this operating band.</w:t>
      </w:r>
    </w:p>
    <w:p w14:paraId="3675A8A0" w14:textId="77777777" w:rsidR="004F09B5" w:rsidRDefault="004F09B5" w:rsidP="004F09B5"/>
    <w:p w14:paraId="5AD2D97D" w14:textId="1E9D3ED8" w:rsidR="004F09B5" w:rsidRDefault="004F09B5" w:rsidP="004F09B5">
      <w:pPr>
        <w:pStyle w:val="Proposal"/>
        <w:jc w:val="both"/>
      </w:pPr>
      <w:bookmarkStart w:id="14" w:name="_Toc146706077"/>
      <w:bookmarkStart w:id="15" w:name="_Toc146711242"/>
      <w:bookmarkStart w:id="16" w:name="_Toc156897706"/>
      <w:bookmarkStart w:id="17" w:name="_Toc157669029"/>
      <w:bookmarkStart w:id="18" w:name="_Toc157690735"/>
      <w:bookmarkStart w:id="19" w:name="_Toc157695756"/>
      <w:bookmarkStart w:id="20" w:name="_Toc157695793"/>
      <w:bookmarkStart w:id="21" w:name="_Toc157761920"/>
      <w:bookmarkStart w:id="22" w:name="_Toc157766528"/>
      <w:bookmarkStart w:id="23" w:name="_Toc158230795"/>
      <w:r>
        <w:t>Proposal 1:</w:t>
      </w:r>
      <w:r>
        <w:tab/>
      </w:r>
      <w:bookmarkEnd w:id="14"/>
      <w:bookmarkEnd w:id="15"/>
      <w:bookmarkEnd w:id="16"/>
      <w:bookmarkEnd w:id="17"/>
      <w:bookmarkEnd w:id="18"/>
      <w:bookmarkEnd w:id="19"/>
      <w:bookmarkEnd w:id="20"/>
      <w:bookmarkEnd w:id="21"/>
      <w:r w:rsidR="004B36C7">
        <w:t>A CR to 38.101-1 is needed to include the definition of the “</w:t>
      </w:r>
      <w:r w:rsidR="004B36C7" w:rsidRPr="004B36C7">
        <w:t>2Rx non-REDCAP XR</w:t>
      </w:r>
      <w:r w:rsidR="004B36C7">
        <w:t xml:space="preserve">” UE and to update NOTE 1 to </w:t>
      </w:r>
      <w:r w:rsidR="004B36C7" w:rsidRPr="004B36C7">
        <w:t>Tables 7.3.2-1a and 7.3.2-1b should be updated</w:t>
      </w:r>
      <w:r w:rsidR="004B36C7">
        <w:t xml:space="preserve"> to include applicability to the “</w:t>
      </w:r>
      <w:r w:rsidR="004B36C7" w:rsidRPr="004B36C7">
        <w:t>2Rx non-REDCAP XR</w:t>
      </w:r>
      <w:r w:rsidR="004B36C7">
        <w:t>.”</w:t>
      </w:r>
      <w:bookmarkEnd w:id="22"/>
      <w:bookmarkEnd w:id="23"/>
    </w:p>
    <w:p w14:paraId="0AFDF66B" w14:textId="2A5C0091" w:rsidR="004F09B5" w:rsidRDefault="004F09B5" w:rsidP="004F09B5"/>
    <w:p w14:paraId="4C06A25E" w14:textId="0E5EB06E" w:rsidR="002E154F" w:rsidRDefault="002E154F" w:rsidP="002E154F">
      <w:pPr>
        <w:pStyle w:val="Proposal"/>
        <w:jc w:val="both"/>
      </w:pPr>
      <w:bookmarkStart w:id="24" w:name="_Toc157766529"/>
      <w:bookmarkStart w:id="25" w:name="_Toc158230796"/>
      <w:r>
        <w:t>Proposal 2:</w:t>
      </w:r>
      <w:r>
        <w:tab/>
        <w:t>Based on the OTA considerations provided, RAN4 can initiate the work to define test methodology aspects for 2Rx non-REDCAP XR UEs in Rel-19.  The effort to specify OTA performance requirements should be postponed until a later release.  To accommodate operator concerns with the coverage of 2Rx</w:t>
      </w:r>
      <w:r w:rsidR="00A73058">
        <w:t>, i</w:t>
      </w:r>
      <w:r>
        <w:t>t is recommended to include the foll</w:t>
      </w:r>
      <w:r w:rsidR="00A73058">
        <w:t>owing objective to the future OTA performance requirements WID</w:t>
      </w:r>
      <w:proofErr w:type="gramStart"/>
      <w:r w:rsidR="00A73058">
        <w:t>:  “</w:t>
      </w:r>
      <w:proofErr w:type="gramEnd"/>
      <w:r w:rsidR="00A73058" w:rsidRPr="00A73058">
        <w:t>RAN4 should discuss whether a single OTA requirement for XR wearables can be defined, regardless of the number of Rx antennas used in the device</w:t>
      </w:r>
      <w:r w:rsidR="00A73058">
        <w:t>.”</w:t>
      </w:r>
      <w:bookmarkEnd w:id="24"/>
      <w:bookmarkEnd w:id="25"/>
    </w:p>
    <w:p w14:paraId="6853A34F" w14:textId="77777777" w:rsidR="00FF1985" w:rsidRDefault="00FF1985" w:rsidP="006B7323"/>
    <w:p w14:paraId="13B2F980" w14:textId="06FB3FD6" w:rsidR="00E15FEC" w:rsidRPr="003E244D" w:rsidRDefault="00E15FEC" w:rsidP="00E15FEC">
      <w:pPr>
        <w:pStyle w:val="Heading1"/>
        <w:rPr>
          <w:lang w:val="en-US"/>
        </w:rPr>
      </w:pPr>
      <w:r w:rsidRPr="003E244D">
        <w:rPr>
          <w:lang w:val="en-US"/>
        </w:rPr>
        <w:t>3</w:t>
      </w:r>
      <w:r w:rsidRPr="003E244D">
        <w:rPr>
          <w:lang w:val="en-US"/>
        </w:rPr>
        <w:tab/>
        <w:t>Conclusions</w:t>
      </w:r>
    </w:p>
    <w:p w14:paraId="17350754" w14:textId="31F5BAEB" w:rsidR="00D2744D" w:rsidRDefault="00692E2D" w:rsidP="00D2744D">
      <w:r>
        <w:t xml:space="preserve">This contribution provides our views and recommendations on how RAN4 can address the RAN task related to the 2Rx XR topic.  </w:t>
      </w:r>
      <w:r w:rsidR="00D2744D">
        <w:t>The following observations and proposals are made:</w:t>
      </w:r>
    </w:p>
    <w:p w14:paraId="6B49A46B" w14:textId="033593DC" w:rsidR="00A5780F" w:rsidRDefault="00A5780F" w:rsidP="00E15FEC"/>
    <w:p w14:paraId="58513057" w14:textId="77777777" w:rsidR="00632C1E" w:rsidRDefault="00A5780F">
      <w:pPr>
        <w:pStyle w:val="TOC1"/>
        <w:rPr>
          <w:rFonts w:asciiTheme="minorHAnsi" w:eastAsiaTheme="minorEastAsia" w:hAnsiTheme="minorHAnsi" w:cstheme="minorBidi"/>
          <w:b w:val="0"/>
          <w:bCs w:val="0"/>
          <w:noProof/>
          <w:kern w:val="2"/>
          <w:sz w:val="24"/>
          <w14:ligatures w14:val="standardContextual"/>
        </w:rPr>
      </w:pPr>
      <w:r w:rsidRPr="00193E57">
        <w:rPr>
          <w:rFonts w:asciiTheme="minorHAnsi" w:hAnsiTheme="minorHAnsi"/>
          <w:bCs w:val="0"/>
        </w:rPr>
        <w:fldChar w:fldCharType="begin"/>
      </w:r>
      <w:r w:rsidRPr="005E0606">
        <w:rPr>
          <w:rFonts w:asciiTheme="minorHAnsi" w:hAnsiTheme="minorHAnsi"/>
          <w:bCs w:val="0"/>
        </w:rPr>
        <w:instrText xml:space="preserve"> TOC \n \t "Observation,1" </w:instrText>
      </w:r>
      <w:r w:rsidRPr="00193E57">
        <w:rPr>
          <w:rFonts w:asciiTheme="minorHAnsi" w:hAnsiTheme="minorHAnsi"/>
          <w:bCs w:val="0"/>
        </w:rPr>
        <w:fldChar w:fldCharType="separate"/>
      </w:r>
      <w:r w:rsidR="00632C1E">
        <w:rPr>
          <w:noProof/>
        </w:rPr>
        <w:t>Observation 1:</w:t>
      </w:r>
      <w:r w:rsidR="00632C1E">
        <w:rPr>
          <w:rFonts w:asciiTheme="minorHAnsi" w:eastAsiaTheme="minorEastAsia" w:hAnsiTheme="minorHAnsi" w:cstheme="minorBidi"/>
          <w:b w:val="0"/>
          <w:bCs w:val="0"/>
          <w:noProof/>
          <w:kern w:val="2"/>
          <w:sz w:val="24"/>
          <w14:ligatures w14:val="standardContextual"/>
        </w:rPr>
        <w:tab/>
      </w:r>
      <w:r w:rsidR="00632C1E">
        <w:rPr>
          <w:noProof/>
        </w:rPr>
        <w:t>Considering the extensive history of assumptions on NF and IM made by RAN4 when deriving REFSENS and some preliminary RF front end considerations of the new XR wearable form factor, there does not seem to be a strong technical justification to tighten the 2Rx REFSENS value for 2Rx wearable devices.</w:t>
      </w:r>
    </w:p>
    <w:p w14:paraId="3DB85D56" w14:textId="77777777" w:rsidR="00632C1E" w:rsidRDefault="00632C1E">
      <w:pPr>
        <w:pStyle w:val="TOC1"/>
        <w:rPr>
          <w:rFonts w:asciiTheme="minorHAnsi" w:eastAsiaTheme="minorEastAsia" w:hAnsiTheme="minorHAnsi" w:cstheme="minorBidi"/>
          <w:b w:val="0"/>
          <w:bCs w:val="0"/>
          <w:noProof/>
          <w:kern w:val="2"/>
          <w:sz w:val="24"/>
          <w14:ligatures w14:val="standardContextual"/>
        </w:rPr>
      </w:pPr>
      <w:r>
        <w:rPr>
          <w:noProof/>
        </w:rPr>
        <w:t>Observation 2:</w:t>
      </w:r>
      <w:r>
        <w:rPr>
          <w:rFonts w:asciiTheme="minorHAnsi" w:eastAsiaTheme="minorEastAsia" w:hAnsiTheme="minorHAnsi" w:cstheme="minorBidi"/>
          <w:b w:val="0"/>
          <w:bCs w:val="0"/>
          <w:noProof/>
          <w:kern w:val="2"/>
          <w:sz w:val="24"/>
          <w14:ligatures w14:val="standardContextual"/>
        </w:rPr>
        <w:tab/>
      </w:r>
      <w:r>
        <w:rPr>
          <w:noProof/>
        </w:rPr>
        <w:t>Based on further guidance by RAN, it is feasible for RAN4 to begin the effort to define the test methodology aspects for the radiated testing of XR wearable devices.  Because RAN4 develops OTA performance requirements based on measured data of commercially available devices, this effort should be postponed until a later release.  To alleviate operator concerns with the coverage of 2Rx XR wearable devices, RAN4 should discuss whether a single OTA requirement for XR wearables can be defined, regardless of the number of Rx antennas used in the device.</w:t>
      </w:r>
    </w:p>
    <w:p w14:paraId="3976237B" w14:textId="64E17D03" w:rsidR="00A5780F" w:rsidRDefault="00A5780F" w:rsidP="00A5780F">
      <w:r w:rsidRPr="00193E57">
        <w:rPr>
          <w:rFonts w:asciiTheme="minorHAnsi" w:hAnsiTheme="minorHAnsi"/>
          <w:b/>
        </w:rPr>
        <w:fldChar w:fldCharType="end"/>
      </w:r>
    </w:p>
    <w:p w14:paraId="1586D874" w14:textId="37C412FA" w:rsidR="00E15FEC" w:rsidRDefault="00E15FEC" w:rsidP="00E15FEC"/>
    <w:p w14:paraId="6936E712" w14:textId="77777777" w:rsidR="00632C1E" w:rsidRDefault="00E15FEC">
      <w:pPr>
        <w:pStyle w:val="TOC1"/>
        <w:rPr>
          <w:rFonts w:asciiTheme="minorHAnsi" w:eastAsiaTheme="minorEastAsia" w:hAnsiTheme="minorHAnsi" w:cstheme="minorBidi"/>
          <w:b w:val="0"/>
          <w:bCs w:val="0"/>
          <w:noProof/>
          <w:kern w:val="2"/>
          <w:sz w:val="24"/>
          <w14:ligatures w14:val="standardContextual"/>
        </w:rPr>
      </w:pPr>
      <w:r w:rsidRPr="003E244D">
        <w:rPr>
          <w:b w:val="0"/>
          <w:bCs w:val="0"/>
        </w:rPr>
        <w:lastRenderedPageBreak/>
        <w:fldChar w:fldCharType="begin"/>
      </w:r>
      <w:r w:rsidRPr="003E244D">
        <w:rPr>
          <w:b w:val="0"/>
          <w:bCs w:val="0"/>
        </w:rPr>
        <w:instrText xml:space="preserve"> TOC \n \t "Proposal,1" </w:instrText>
      </w:r>
      <w:r w:rsidRPr="003E244D">
        <w:rPr>
          <w:b w:val="0"/>
          <w:bCs w:val="0"/>
        </w:rPr>
        <w:fldChar w:fldCharType="separate"/>
      </w:r>
      <w:r w:rsidR="00632C1E">
        <w:rPr>
          <w:noProof/>
        </w:rPr>
        <w:t>Proposal 1:</w:t>
      </w:r>
      <w:r w:rsidR="00632C1E">
        <w:rPr>
          <w:rFonts w:asciiTheme="minorHAnsi" w:eastAsiaTheme="minorEastAsia" w:hAnsiTheme="minorHAnsi" w:cstheme="minorBidi"/>
          <w:b w:val="0"/>
          <w:bCs w:val="0"/>
          <w:noProof/>
          <w:kern w:val="2"/>
          <w:sz w:val="24"/>
          <w14:ligatures w14:val="standardContextual"/>
        </w:rPr>
        <w:tab/>
      </w:r>
      <w:r w:rsidR="00632C1E">
        <w:rPr>
          <w:noProof/>
        </w:rPr>
        <w:t>A CR to 38.101-1 is needed to include the definition of the “2Rx non-REDCAP XR” UE and to update NOTE 1 to Tables 7.3.2-1a and 7.3.2-1b should be updated to include applicability to the “2Rx non-REDCAP XR.”</w:t>
      </w:r>
    </w:p>
    <w:p w14:paraId="7A4B7E6B" w14:textId="77777777" w:rsidR="00632C1E" w:rsidRDefault="00632C1E">
      <w:pPr>
        <w:pStyle w:val="TOC1"/>
        <w:rPr>
          <w:rFonts w:asciiTheme="minorHAnsi" w:eastAsiaTheme="minorEastAsia" w:hAnsiTheme="minorHAnsi" w:cstheme="minorBidi"/>
          <w:b w:val="0"/>
          <w:bCs w:val="0"/>
          <w:noProof/>
          <w:kern w:val="2"/>
          <w:sz w:val="24"/>
          <w14:ligatures w14:val="standardContextual"/>
        </w:rPr>
      </w:pPr>
      <w:r>
        <w:rPr>
          <w:noProof/>
        </w:rPr>
        <w:t>Proposal 2:</w:t>
      </w:r>
      <w:r>
        <w:rPr>
          <w:rFonts w:asciiTheme="minorHAnsi" w:eastAsiaTheme="minorEastAsia" w:hAnsiTheme="minorHAnsi" w:cstheme="minorBidi"/>
          <w:b w:val="0"/>
          <w:bCs w:val="0"/>
          <w:noProof/>
          <w:kern w:val="2"/>
          <w:sz w:val="24"/>
          <w14:ligatures w14:val="standardContextual"/>
        </w:rPr>
        <w:tab/>
      </w:r>
      <w:r>
        <w:rPr>
          <w:noProof/>
        </w:rPr>
        <w:t>Based on the OTA considerations provided, RAN4 can initiate the work to define test methodology aspects for 2Rx non-REDCAP XR UEs in Rel-19.  The effort to specify OTA performance requirements should be postponed until a later release.  To accommodate operator concerns with the coverage of 2Rx, it is recommended to include the following objective to the future OTA performance requirements WID:  “RAN4 should discuss whether a single OTA requirement for XR wearables can be defined, regardless of the number of Rx antennas used in the device.”</w:t>
      </w:r>
    </w:p>
    <w:p w14:paraId="2774D189" w14:textId="3D3DC9C1" w:rsidR="00264D40" w:rsidRPr="00736204" w:rsidRDefault="00E15FEC">
      <w:pPr>
        <w:rPr>
          <w:b/>
          <w:bCs/>
        </w:rPr>
      </w:pPr>
      <w:r w:rsidRPr="003E244D">
        <w:rPr>
          <w:b/>
          <w:bCs/>
        </w:rPr>
        <w:fldChar w:fldCharType="end"/>
      </w:r>
      <w:r w:rsidR="00264D40">
        <w:br w:type="page"/>
      </w:r>
    </w:p>
    <w:p w14:paraId="5D2DDC34" w14:textId="5CC25CF4" w:rsidR="005E69AE" w:rsidRPr="003E244D" w:rsidRDefault="005E69AE" w:rsidP="005E69AE">
      <w:pPr>
        <w:pStyle w:val="Heading1"/>
        <w:rPr>
          <w:lang w:val="en-US"/>
        </w:rPr>
      </w:pPr>
      <w:r w:rsidRPr="003E244D">
        <w:rPr>
          <w:lang w:val="en-US"/>
        </w:rPr>
        <w:lastRenderedPageBreak/>
        <w:t>References</w:t>
      </w:r>
    </w:p>
    <w:p w14:paraId="20B633F2" w14:textId="7B6EEBB7" w:rsidR="00A9088F" w:rsidRDefault="00A9088F" w:rsidP="00A9088F">
      <w:pPr>
        <w:pStyle w:val="EX"/>
      </w:pPr>
      <w:bookmarkStart w:id="26" w:name="_Ref157695750"/>
      <w:bookmarkStart w:id="27" w:name="_Ref125442669"/>
      <w:bookmarkEnd w:id="0"/>
      <w:r w:rsidRPr="00A9088F">
        <w:t>RP-223504</w:t>
      </w:r>
      <w:r>
        <w:t>, “</w:t>
      </w:r>
      <w:r w:rsidRPr="00A9088F">
        <w:t>Summary and Way Forward on XR</w:t>
      </w:r>
      <w:r>
        <w:t xml:space="preserve"> </w:t>
      </w:r>
      <w:r w:rsidRPr="00A9088F">
        <w:t>[98e-07-R18-XR]</w:t>
      </w:r>
      <w:r>
        <w:t>,” Nokia, 3GPP RAN #98, December 2022</w:t>
      </w:r>
      <w:bookmarkEnd w:id="26"/>
    </w:p>
    <w:p w14:paraId="37E12B04" w14:textId="0E279CC7" w:rsidR="00D5772F" w:rsidRDefault="00D5772F" w:rsidP="004105B2">
      <w:pPr>
        <w:pStyle w:val="EX"/>
      </w:pPr>
      <w:bookmarkStart w:id="28" w:name="_Ref157695766"/>
      <w:r w:rsidRPr="00D5772F">
        <w:t>RP-232657</w:t>
      </w:r>
      <w:r>
        <w:t>, “</w:t>
      </w:r>
      <w:r w:rsidRPr="00D5772F">
        <w:t>Summary of offline session on 2Rx for XR</w:t>
      </w:r>
      <w:r>
        <w:t>,” Nokia, 3GPP RAN #101, September 2023</w:t>
      </w:r>
      <w:bookmarkEnd w:id="28"/>
    </w:p>
    <w:p w14:paraId="1C423FDE" w14:textId="09A83C59" w:rsidR="004105B2" w:rsidRDefault="00D5772F" w:rsidP="004105B2">
      <w:pPr>
        <w:pStyle w:val="EX"/>
      </w:pPr>
      <w:bookmarkStart w:id="29" w:name="_Ref157695771"/>
      <w:r w:rsidRPr="00D5772F">
        <w:t>RP-234015</w:t>
      </w:r>
      <w:r>
        <w:t>, “</w:t>
      </w:r>
      <w:r w:rsidRPr="00D5772F">
        <w:t>Summary of offline session on 2Rx for XR</w:t>
      </w:r>
      <w:r>
        <w:t>,” Nokia, 3GPP RAN #102, December 2023</w:t>
      </w:r>
      <w:bookmarkEnd w:id="29"/>
    </w:p>
    <w:p w14:paraId="203511F2" w14:textId="0C0B0D9B" w:rsidR="00030967" w:rsidRDefault="00030967" w:rsidP="00030967">
      <w:pPr>
        <w:pStyle w:val="EX"/>
      </w:pPr>
      <w:bookmarkStart w:id="30" w:name="_Ref157669072"/>
      <w:r>
        <w:t>TS38.101-1, “NR; User Equipment (UE) radio transmission and reception; Part 1: Range 1 Standalone,” 3GPP</w:t>
      </w:r>
      <w:bookmarkEnd w:id="30"/>
    </w:p>
    <w:p w14:paraId="33E5B2CF" w14:textId="0ADBDFD4" w:rsidR="00645D18" w:rsidRDefault="00645D18" w:rsidP="00030967">
      <w:pPr>
        <w:pStyle w:val="EX"/>
      </w:pPr>
      <w:bookmarkStart w:id="31" w:name="_Ref157669060"/>
      <w:r>
        <w:t xml:space="preserve">TS36.101, “E-UTRA; </w:t>
      </w:r>
      <w:r w:rsidRPr="00645D18">
        <w:t>User Equipment (UE) radio transmission and reception</w:t>
      </w:r>
      <w:r>
        <w:t>,” 3GPP</w:t>
      </w:r>
      <w:bookmarkEnd w:id="31"/>
    </w:p>
    <w:p w14:paraId="7368CFE7" w14:textId="16FCC5E2" w:rsidR="00905116" w:rsidRDefault="00905116" w:rsidP="00030967">
      <w:pPr>
        <w:pStyle w:val="EX"/>
      </w:pPr>
      <w:bookmarkStart w:id="32" w:name="_Ref157669218"/>
      <w:r w:rsidRPr="00030967">
        <w:t>TR38.817-01</w:t>
      </w:r>
      <w:r>
        <w:t>, “General aspects for User Equipment (UE) Radio Frequency (RF) for NR,” 3GPP</w:t>
      </w:r>
      <w:bookmarkEnd w:id="32"/>
    </w:p>
    <w:p w14:paraId="1AB53553" w14:textId="767EA40F" w:rsidR="00030967" w:rsidRDefault="00030967" w:rsidP="00030967">
      <w:pPr>
        <w:pStyle w:val="EX"/>
      </w:pPr>
      <w:bookmarkStart w:id="33" w:name="_Ref157669313"/>
      <w:r w:rsidRPr="00030967">
        <w:t>TR36.812</w:t>
      </w:r>
      <w:r>
        <w:t>, “E-UTRA; LTE TDD 2600MHz In US Work Item Technical Report,” 3GPP</w:t>
      </w:r>
      <w:bookmarkEnd w:id="33"/>
    </w:p>
    <w:p w14:paraId="3BB631CA" w14:textId="59DDD8B7" w:rsidR="00305680" w:rsidRDefault="00305680" w:rsidP="00412A18">
      <w:pPr>
        <w:pStyle w:val="EX"/>
      </w:pPr>
      <w:bookmarkStart w:id="34" w:name="_Ref157761909"/>
      <w:bookmarkStart w:id="35" w:name="_Ref157761102"/>
      <w:r w:rsidRPr="00305680">
        <w:t>RP-233555</w:t>
      </w:r>
      <w:r>
        <w:t>, “</w:t>
      </w:r>
      <w:r w:rsidRPr="00305680">
        <w:t>Views on 2RX for XR wearables</w:t>
      </w:r>
      <w:r>
        <w:t>,” Meta, 3GPP RAN #102, December 2023</w:t>
      </w:r>
      <w:bookmarkEnd w:id="34"/>
    </w:p>
    <w:p w14:paraId="622968BF" w14:textId="44B4CE48" w:rsidR="004F62B4" w:rsidRDefault="004F62B4" w:rsidP="00412A18">
      <w:pPr>
        <w:pStyle w:val="EX"/>
      </w:pPr>
      <w:bookmarkStart w:id="36" w:name="_Ref157762120"/>
      <w:r w:rsidRPr="004F62B4">
        <w:t>RP-233515</w:t>
      </w:r>
      <w:r>
        <w:t>, “</w:t>
      </w:r>
      <w:r w:rsidRPr="004F62B4">
        <w:t>Views on support of XR with 2Rx</w:t>
      </w:r>
      <w:r>
        <w:t>,” Qualcomm, 3GPP RAN #102, December 2023</w:t>
      </w:r>
      <w:bookmarkEnd w:id="36"/>
    </w:p>
    <w:p w14:paraId="47109D29" w14:textId="38915D54" w:rsidR="00412A18" w:rsidRDefault="00412A18" w:rsidP="00412A18">
      <w:pPr>
        <w:pStyle w:val="EX"/>
      </w:pPr>
      <w:bookmarkStart w:id="37" w:name="_Ref157761917"/>
      <w:r w:rsidRPr="00427383">
        <w:t>R4-2212818</w:t>
      </w:r>
      <w:r>
        <w:t>, “</w:t>
      </w:r>
      <w:r w:rsidRPr="00427383">
        <w:t>Analysis of TRP TRS Performance Test Campaign and Proposals for requirements</w:t>
      </w:r>
      <w:r>
        <w:t>,” vivo, 3GPP RAN4 #104, August 2022</w:t>
      </w:r>
      <w:bookmarkEnd w:id="35"/>
      <w:bookmarkEnd w:id="37"/>
    </w:p>
    <w:p w14:paraId="4687CB39" w14:textId="13844B43" w:rsidR="00705012" w:rsidRDefault="00705012" w:rsidP="00412A18">
      <w:pPr>
        <w:pStyle w:val="EX"/>
      </w:pPr>
      <w:r w:rsidRPr="00705012">
        <w:t>RP-231300</w:t>
      </w:r>
      <w:r>
        <w:t>, “</w:t>
      </w:r>
      <w:r w:rsidRPr="00705012">
        <w:t>on 2Rx relaxation for XR</w:t>
      </w:r>
      <w:r>
        <w:t>,” Apple, 3GPP RAN #100</w:t>
      </w:r>
      <w:r w:rsidR="00F213B8">
        <w:t>, June 2023</w:t>
      </w:r>
    </w:p>
    <w:p w14:paraId="1EA3D5C1" w14:textId="5E10DFA7" w:rsidR="004963B7" w:rsidRPr="004963B7" w:rsidRDefault="004963B7" w:rsidP="004963B7">
      <w:pPr>
        <w:pStyle w:val="EX"/>
      </w:pPr>
      <w:bookmarkStart w:id="38" w:name="_Ref158232247"/>
      <w:r w:rsidRPr="004963B7">
        <w:t>RP-232101</w:t>
      </w:r>
      <w:r>
        <w:t>, “</w:t>
      </w:r>
      <w:r w:rsidRPr="004963B7">
        <w:t>Views on 2Rx Relaxation for XR Wearables</w:t>
      </w:r>
      <w:r>
        <w:t>”, Apple, 3GPP RAN #101, September 2023</w:t>
      </w:r>
      <w:bookmarkEnd w:id="38"/>
    </w:p>
    <w:p w14:paraId="138D74E1" w14:textId="0E4C0E28" w:rsidR="004963B7" w:rsidRDefault="004963B7" w:rsidP="000B41FD">
      <w:pPr>
        <w:pStyle w:val="EX"/>
        <w:numPr>
          <w:ilvl w:val="0"/>
          <w:numId w:val="0"/>
        </w:numPr>
        <w:ind w:left="369"/>
      </w:pPr>
    </w:p>
    <w:bookmarkEnd w:id="27"/>
    <w:p w14:paraId="69351056" w14:textId="71485939" w:rsidR="005D1E53" w:rsidRDefault="005D1E53" w:rsidP="00B23770"/>
    <w:sectPr w:rsidR="005D1E53" w:rsidSect="00655611">
      <w:headerReference w:type="default" r:id="rId21"/>
      <w:footerReference w:type="default" r:id="rId22"/>
      <w:footerReference w:type="first" r:id="rId2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6821C" w14:textId="77777777" w:rsidR="00655611" w:rsidRDefault="00655611">
      <w:r>
        <w:separator/>
      </w:r>
    </w:p>
  </w:endnote>
  <w:endnote w:type="continuationSeparator" w:id="0">
    <w:p w14:paraId="1263716A" w14:textId="77777777" w:rsidR="00655611" w:rsidRDefault="0065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0B9DB" w14:textId="77777777" w:rsidR="00655611" w:rsidRDefault="00655611">
      <w:r>
        <w:separator/>
      </w:r>
    </w:p>
  </w:footnote>
  <w:footnote w:type="continuationSeparator" w:id="0">
    <w:p w14:paraId="34D4E97D" w14:textId="77777777" w:rsidR="00655611" w:rsidRDefault="00655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B3C5D"/>
    <w:multiLevelType w:val="hybridMultilevel"/>
    <w:tmpl w:val="D638DD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9" w15:restartNumberingAfterBreak="0">
    <w:nsid w:val="2FE52E80"/>
    <w:multiLevelType w:val="multilevel"/>
    <w:tmpl w:val="1B04B730"/>
    <w:numStyleLink w:val="RSBullets"/>
  </w:abstractNum>
  <w:abstractNum w:abstractNumId="20"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72533E"/>
    <w:multiLevelType w:val="hybridMultilevel"/>
    <w:tmpl w:val="6A9C3D6A"/>
    <w:lvl w:ilvl="0" w:tplc="781A243C">
      <w:start w:val="1"/>
      <w:numFmt w:val="bullet"/>
      <w:lvlText w:val="•"/>
      <w:lvlJc w:val="left"/>
      <w:pPr>
        <w:tabs>
          <w:tab w:val="num" w:pos="720"/>
        </w:tabs>
        <w:ind w:left="720" w:hanging="360"/>
      </w:pPr>
      <w:rPr>
        <w:rFonts w:ascii="Times New Roman" w:hAnsi="Times New Roman" w:hint="default"/>
      </w:rPr>
    </w:lvl>
    <w:lvl w:ilvl="1" w:tplc="8BD4CCD4" w:tentative="1">
      <w:start w:val="1"/>
      <w:numFmt w:val="bullet"/>
      <w:lvlText w:val="•"/>
      <w:lvlJc w:val="left"/>
      <w:pPr>
        <w:tabs>
          <w:tab w:val="num" w:pos="1440"/>
        </w:tabs>
        <w:ind w:left="1440" w:hanging="360"/>
      </w:pPr>
      <w:rPr>
        <w:rFonts w:ascii="Times New Roman" w:hAnsi="Times New Roman" w:hint="default"/>
      </w:rPr>
    </w:lvl>
    <w:lvl w:ilvl="2" w:tplc="91B2EF1C" w:tentative="1">
      <w:start w:val="1"/>
      <w:numFmt w:val="bullet"/>
      <w:lvlText w:val="•"/>
      <w:lvlJc w:val="left"/>
      <w:pPr>
        <w:tabs>
          <w:tab w:val="num" w:pos="2160"/>
        </w:tabs>
        <w:ind w:left="2160" w:hanging="360"/>
      </w:pPr>
      <w:rPr>
        <w:rFonts w:ascii="Times New Roman" w:hAnsi="Times New Roman" w:hint="default"/>
      </w:rPr>
    </w:lvl>
    <w:lvl w:ilvl="3" w:tplc="BFB86C1E" w:tentative="1">
      <w:start w:val="1"/>
      <w:numFmt w:val="bullet"/>
      <w:lvlText w:val="•"/>
      <w:lvlJc w:val="left"/>
      <w:pPr>
        <w:tabs>
          <w:tab w:val="num" w:pos="2880"/>
        </w:tabs>
        <w:ind w:left="2880" w:hanging="360"/>
      </w:pPr>
      <w:rPr>
        <w:rFonts w:ascii="Times New Roman" w:hAnsi="Times New Roman" w:hint="default"/>
      </w:rPr>
    </w:lvl>
    <w:lvl w:ilvl="4" w:tplc="508EE4F6" w:tentative="1">
      <w:start w:val="1"/>
      <w:numFmt w:val="bullet"/>
      <w:lvlText w:val="•"/>
      <w:lvlJc w:val="left"/>
      <w:pPr>
        <w:tabs>
          <w:tab w:val="num" w:pos="3600"/>
        </w:tabs>
        <w:ind w:left="3600" w:hanging="360"/>
      </w:pPr>
      <w:rPr>
        <w:rFonts w:ascii="Times New Roman" w:hAnsi="Times New Roman" w:hint="default"/>
      </w:rPr>
    </w:lvl>
    <w:lvl w:ilvl="5" w:tplc="64322BD0" w:tentative="1">
      <w:start w:val="1"/>
      <w:numFmt w:val="bullet"/>
      <w:lvlText w:val="•"/>
      <w:lvlJc w:val="left"/>
      <w:pPr>
        <w:tabs>
          <w:tab w:val="num" w:pos="4320"/>
        </w:tabs>
        <w:ind w:left="4320" w:hanging="360"/>
      </w:pPr>
      <w:rPr>
        <w:rFonts w:ascii="Times New Roman" w:hAnsi="Times New Roman" w:hint="default"/>
      </w:rPr>
    </w:lvl>
    <w:lvl w:ilvl="6" w:tplc="344A6498" w:tentative="1">
      <w:start w:val="1"/>
      <w:numFmt w:val="bullet"/>
      <w:lvlText w:val="•"/>
      <w:lvlJc w:val="left"/>
      <w:pPr>
        <w:tabs>
          <w:tab w:val="num" w:pos="5040"/>
        </w:tabs>
        <w:ind w:left="5040" w:hanging="360"/>
      </w:pPr>
      <w:rPr>
        <w:rFonts w:ascii="Times New Roman" w:hAnsi="Times New Roman" w:hint="default"/>
      </w:rPr>
    </w:lvl>
    <w:lvl w:ilvl="7" w:tplc="AD5C1B0E" w:tentative="1">
      <w:start w:val="1"/>
      <w:numFmt w:val="bullet"/>
      <w:lvlText w:val="•"/>
      <w:lvlJc w:val="left"/>
      <w:pPr>
        <w:tabs>
          <w:tab w:val="num" w:pos="5760"/>
        </w:tabs>
        <w:ind w:left="5760" w:hanging="360"/>
      </w:pPr>
      <w:rPr>
        <w:rFonts w:ascii="Times New Roman" w:hAnsi="Times New Roman" w:hint="default"/>
      </w:rPr>
    </w:lvl>
    <w:lvl w:ilvl="8" w:tplc="6DFE3E9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7" w15:restartNumberingAfterBreak="0">
    <w:nsid w:val="48633435"/>
    <w:multiLevelType w:val="hybridMultilevel"/>
    <w:tmpl w:val="3EACB88C"/>
    <w:lvl w:ilvl="0" w:tplc="F4D63658">
      <w:start w:val="1"/>
      <w:numFmt w:val="bullet"/>
      <w:lvlText w:val="-"/>
      <w:lvlJc w:val="left"/>
      <w:pPr>
        <w:ind w:left="1440" w:hanging="360"/>
      </w:pPr>
      <w:rPr>
        <w:rFonts w:ascii="Calibri" w:eastAsiaTheme="minorHAns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2"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E6583"/>
    <w:multiLevelType w:val="hybridMultilevel"/>
    <w:tmpl w:val="DDFCA718"/>
    <w:lvl w:ilvl="0" w:tplc="B866D034">
      <w:start w:val="29"/>
      <w:numFmt w:val="bullet"/>
      <w:lvlText w:val="-"/>
      <w:lvlJc w:val="left"/>
      <w:pPr>
        <w:ind w:left="720" w:hanging="360"/>
      </w:pPr>
      <w:rPr>
        <w:rFonts w:ascii="Calibri" w:eastAsiaTheme="minorHAnsi" w:hAnsi="Calibri" w:cs="Calibri"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9"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1"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36"/>
  </w:num>
  <w:num w:numId="5" w16cid:durableId="2105686064">
    <w:abstractNumId w:val="4"/>
  </w:num>
  <w:num w:numId="6" w16cid:durableId="935677626">
    <w:abstractNumId w:val="4"/>
  </w:num>
  <w:num w:numId="7" w16cid:durableId="163206255">
    <w:abstractNumId w:val="25"/>
  </w:num>
  <w:num w:numId="8" w16cid:durableId="1232692392">
    <w:abstractNumId w:val="10"/>
  </w:num>
  <w:num w:numId="9" w16cid:durableId="802114468">
    <w:abstractNumId w:val="11"/>
  </w:num>
  <w:num w:numId="10" w16cid:durableId="1723216798">
    <w:abstractNumId w:val="5"/>
  </w:num>
  <w:num w:numId="11" w16cid:durableId="1330981354">
    <w:abstractNumId w:val="35"/>
  </w:num>
  <w:num w:numId="12" w16cid:durableId="1286350733">
    <w:abstractNumId w:val="29"/>
  </w:num>
  <w:num w:numId="13" w16cid:durableId="1835877656">
    <w:abstractNumId w:val="17"/>
  </w:num>
  <w:num w:numId="14" w16cid:durableId="1751148377">
    <w:abstractNumId w:val="1"/>
  </w:num>
  <w:num w:numId="15" w16cid:durableId="229268320">
    <w:abstractNumId w:val="14"/>
  </w:num>
  <w:num w:numId="16" w16cid:durableId="501243841">
    <w:abstractNumId w:val="38"/>
  </w:num>
  <w:num w:numId="17" w16cid:durableId="1176656382">
    <w:abstractNumId w:val="33"/>
  </w:num>
  <w:num w:numId="18" w16cid:durableId="775564170">
    <w:abstractNumId w:val="31"/>
  </w:num>
  <w:num w:numId="19" w16cid:durableId="1390693011">
    <w:abstractNumId w:val="7"/>
  </w:num>
  <w:num w:numId="20" w16cid:durableId="475336801">
    <w:abstractNumId w:val="30"/>
  </w:num>
  <w:num w:numId="21" w16cid:durableId="1482117281">
    <w:abstractNumId w:val="15"/>
  </w:num>
  <w:num w:numId="22" w16cid:durableId="1006788991">
    <w:abstractNumId w:val="13"/>
  </w:num>
  <w:num w:numId="23" w16cid:durableId="392389845">
    <w:abstractNumId w:val="20"/>
  </w:num>
  <w:num w:numId="24" w16cid:durableId="1483616385">
    <w:abstractNumId w:val="23"/>
  </w:num>
  <w:num w:numId="25" w16cid:durableId="108160885">
    <w:abstractNumId w:val="34"/>
  </w:num>
  <w:num w:numId="26" w16cid:durableId="1161119004">
    <w:abstractNumId w:val="8"/>
  </w:num>
  <w:num w:numId="27" w16cid:durableId="1899899378">
    <w:abstractNumId w:val="12"/>
  </w:num>
  <w:num w:numId="28" w16cid:durableId="1931892540">
    <w:abstractNumId w:val="24"/>
  </w:num>
  <w:num w:numId="29" w16cid:durableId="1535195353">
    <w:abstractNumId w:val="40"/>
  </w:num>
  <w:num w:numId="30" w16cid:durableId="637296635">
    <w:abstractNumId w:val="26"/>
  </w:num>
  <w:num w:numId="31" w16cid:durableId="1591619166">
    <w:abstractNumId w:val="18"/>
  </w:num>
  <w:num w:numId="32" w16cid:durableId="1906646370">
    <w:abstractNumId w:val="3"/>
  </w:num>
  <w:num w:numId="33" w16cid:durableId="1683701830">
    <w:abstractNumId w:val="16"/>
  </w:num>
  <w:num w:numId="34" w16cid:durableId="1494301208">
    <w:abstractNumId w:val="28"/>
  </w:num>
  <w:num w:numId="35" w16cid:durableId="1580286488">
    <w:abstractNumId w:val="41"/>
  </w:num>
  <w:num w:numId="36" w16cid:durableId="477377207">
    <w:abstractNumId w:val="22"/>
  </w:num>
  <w:num w:numId="37" w16cid:durableId="1542089270">
    <w:abstractNumId w:val="19"/>
  </w:num>
  <w:num w:numId="38" w16cid:durableId="1892113756">
    <w:abstractNumId w:val="6"/>
  </w:num>
  <w:num w:numId="39" w16cid:durableId="1165978540">
    <w:abstractNumId w:val="27"/>
  </w:num>
  <w:num w:numId="40" w16cid:durableId="1731033668">
    <w:abstractNumId w:val="37"/>
  </w:num>
  <w:num w:numId="41" w16cid:durableId="1627396147">
    <w:abstractNumId w:val="9"/>
  </w:num>
  <w:num w:numId="42" w16cid:durableId="2069957277">
    <w:abstractNumId w:val="39"/>
  </w:num>
  <w:num w:numId="43" w16cid:durableId="1590499736">
    <w:abstractNumId w:val="32"/>
  </w:num>
  <w:num w:numId="44" w16cid:durableId="9192140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34"/>
    <w:rsid w:val="00000C0F"/>
    <w:rsid w:val="00005C7E"/>
    <w:rsid w:val="0000697B"/>
    <w:rsid w:val="00007367"/>
    <w:rsid w:val="00010984"/>
    <w:rsid w:val="000119A8"/>
    <w:rsid w:val="00012278"/>
    <w:rsid w:val="00013AB3"/>
    <w:rsid w:val="00014AC8"/>
    <w:rsid w:val="00016BAE"/>
    <w:rsid w:val="00023CFD"/>
    <w:rsid w:val="00030967"/>
    <w:rsid w:val="00030AF6"/>
    <w:rsid w:val="0003192A"/>
    <w:rsid w:val="00033397"/>
    <w:rsid w:val="000362A9"/>
    <w:rsid w:val="00040095"/>
    <w:rsid w:val="00041C46"/>
    <w:rsid w:val="00042B89"/>
    <w:rsid w:val="00045B1A"/>
    <w:rsid w:val="0005148B"/>
    <w:rsid w:val="00051834"/>
    <w:rsid w:val="00052FF3"/>
    <w:rsid w:val="00054A22"/>
    <w:rsid w:val="00054BF7"/>
    <w:rsid w:val="00057447"/>
    <w:rsid w:val="00060F54"/>
    <w:rsid w:val="000615B9"/>
    <w:rsid w:val="00062023"/>
    <w:rsid w:val="000626DF"/>
    <w:rsid w:val="0006319D"/>
    <w:rsid w:val="00064CD2"/>
    <w:rsid w:val="000655A6"/>
    <w:rsid w:val="00065DB2"/>
    <w:rsid w:val="00070259"/>
    <w:rsid w:val="0007393D"/>
    <w:rsid w:val="000750E1"/>
    <w:rsid w:val="00075367"/>
    <w:rsid w:val="0007544A"/>
    <w:rsid w:val="00075C86"/>
    <w:rsid w:val="00076911"/>
    <w:rsid w:val="0008003E"/>
    <w:rsid w:val="00080512"/>
    <w:rsid w:val="00081986"/>
    <w:rsid w:val="00084DEC"/>
    <w:rsid w:val="000900A3"/>
    <w:rsid w:val="000938B6"/>
    <w:rsid w:val="00093DF7"/>
    <w:rsid w:val="000A0156"/>
    <w:rsid w:val="000A1B0D"/>
    <w:rsid w:val="000A1EE4"/>
    <w:rsid w:val="000A2553"/>
    <w:rsid w:val="000A262A"/>
    <w:rsid w:val="000A365D"/>
    <w:rsid w:val="000A5A2B"/>
    <w:rsid w:val="000A608B"/>
    <w:rsid w:val="000A68F3"/>
    <w:rsid w:val="000A6C58"/>
    <w:rsid w:val="000A7753"/>
    <w:rsid w:val="000B068F"/>
    <w:rsid w:val="000B26DE"/>
    <w:rsid w:val="000B41FD"/>
    <w:rsid w:val="000B48FA"/>
    <w:rsid w:val="000B4F5D"/>
    <w:rsid w:val="000B52A6"/>
    <w:rsid w:val="000B5A1B"/>
    <w:rsid w:val="000C0802"/>
    <w:rsid w:val="000C1B0C"/>
    <w:rsid w:val="000C1D72"/>
    <w:rsid w:val="000C2C75"/>
    <w:rsid w:val="000C3E1F"/>
    <w:rsid w:val="000C47C3"/>
    <w:rsid w:val="000C4EB3"/>
    <w:rsid w:val="000C4FD6"/>
    <w:rsid w:val="000C5F18"/>
    <w:rsid w:val="000C77AC"/>
    <w:rsid w:val="000D068D"/>
    <w:rsid w:val="000D17EF"/>
    <w:rsid w:val="000D19C5"/>
    <w:rsid w:val="000D2305"/>
    <w:rsid w:val="000D2BBF"/>
    <w:rsid w:val="000D58AB"/>
    <w:rsid w:val="000D6823"/>
    <w:rsid w:val="000D76CE"/>
    <w:rsid w:val="000E14DC"/>
    <w:rsid w:val="000E5B2E"/>
    <w:rsid w:val="000E695B"/>
    <w:rsid w:val="000E75BE"/>
    <w:rsid w:val="000F3FAE"/>
    <w:rsid w:val="000F4980"/>
    <w:rsid w:val="0010216B"/>
    <w:rsid w:val="00103975"/>
    <w:rsid w:val="00103C69"/>
    <w:rsid w:val="00104B30"/>
    <w:rsid w:val="00104BC6"/>
    <w:rsid w:val="00107048"/>
    <w:rsid w:val="00107E92"/>
    <w:rsid w:val="001114F7"/>
    <w:rsid w:val="001133A5"/>
    <w:rsid w:val="00114E2C"/>
    <w:rsid w:val="0012022A"/>
    <w:rsid w:val="001220CC"/>
    <w:rsid w:val="0012283A"/>
    <w:rsid w:val="00126024"/>
    <w:rsid w:val="00126048"/>
    <w:rsid w:val="00130423"/>
    <w:rsid w:val="00133525"/>
    <w:rsid w:val="00135455"/>
    <w:rsid w:val="00136D01"/>
    <w:rsid w:val="00137CC2"/>
    <w:rsid w:val="001410F3"/>
    <w:rsid w:val="001445D7"/>
    <w:rsid w:val="00145874"/>
    <w:rsid w:val="00151A5E"/>
    <w:rsid w:val="00151E23"/>
    <w:rsid w:val="00153546"/>
    <w:rsid w:val="001541DD"/>
    <w:rsid w:val="00154F78"/>
    <w:rsid w:val="001625E9"/>
    <w:rsid w:val="001627DE"/>
    <w:rsid w:val="00162935"/>
    <w:rsid w:val="00163644"/>
    <w:rsid w:val="00163E10"/>
    <w:rsid w:val="00164FEC"/>
    <w:rsid w:val="00165F00"/>
    <w:rsid w:val="00166C80"/>
    <w:rsid w:val="00167B4B"/>
    <w:rsid w:val="00171479"/>
    <w:rsid w:val="00172792"/>
    <w:rsid w:val="00172B21"/>
    <w:rsid w:val="00172D89"/>
    <w:rsid w:val="00175108"/>
    <w:rsid w:val="00175F02"/>
    <w:rsid w:val="001802E1"/>
    <w:rsid w:val="0018232A"/>
    <w:rsid w:val="001829C1"/>
    <w:rsid w:val="001905FD"/>
    <w:rsid w:val="00191AFF"/>
    <w:rsid w:val="00191B2A"/>
    <w:rsid w:val="0019224B"/>
    <w:rsid w:val="00193E57"/>
    <w:rsid w:val="0019509D"/>
    <w:rsid w:val="00195D1A"/>
    <w:rsid w:val="00196140"/>
    <w:rsid w:val="0019661D"/>
    <w:rsid w:val="00196C22"/>
    <w:rsid w:val="00197D2B"/>
    <w:rsid w:val="001A35C9"/>
    <w:rsid w:val="001A4C42"/>
    <w:rsid w:val="001B430B"/>
    <w:rsid w:val="001B435D"/>
    <w:rsid w:val="001B739B"/>
    <w:rsid w:val="001C21C3"/>
    <w:rsid w:val="001C688A"/>
    <w:rsid w:val="001C79F8"/>
    <w:rsid w:val="001D02C2"/>
    <w:rsid w:val="001D0410"/>
    <w:rsid w:val="001D6FAC"/>
    <w:rsid w:val="001E07C3"/>
    <w:rsid w:val="001E2E6E"/>
    <w:rsid w:val="001E463A"/>
    <w:rsid w:val="001E4E5D"/>
    <w:rsid w:val="001F0C1D"/>
    <w:rsid w:val="001F0F72"/>
    <w:rsid w:val="001F1132"/>
    <w:rsid w:val="001F128A"/>
    <w:rsid w:val="001F168B"/>
    <w:rsid w:val="001F4C65"/>
    <w:rsid w:val="001F52BE"/>
    <w:rsid w:val="001F6265"/>
    <w:rsid w:val="001F68C4"/>
    <w:rsid w:val="002104B3"/>
    <w:rsid w:val="00211F18"/>
    <w:rsid w:val="00215CA0"/>
    <w:rsid w:val="00217278"/>
    <w:rsid w:val="00217DD9"/>
    <w:rsid w:val="00217E22"/>
    <w:rsid w:val="0022138B"/>
    <w:rsid w:val="00221868"/>
    <w:rsid w:val="0022282F"/>
    <w:rsid w:val="002237AC"/>
    <w:rsid w:val="00223B85"/>
    <w:rsid w:val="002279E9"/>
    <w:rsid w:val="00232112"/>
    <w:rsid w:val="002327A9"/>
    <w:rsid w:val="002347A2"/>
    <w:rsid w:val="00235647"/>
    <w:rsid w:val="00241006"/>
    <w:rsid w:val="00242E83"/>
    <w:rsid w:val="00244B0E"/>
    <w:rsid w:val="00244B6E"/>
    <w:rsid w:val="00245645"/>
    <w:rsid w:val="00245835"/>
    <w:rsid w:val="00246D1E"/>
    <w:rsid w:val="00247926"/>
    <w:rsid w:val="00250110"/>
    <w:rsid w:val="002512BD"/>
    <w:rsid w:val="00251661"/>
    <w:rsid w:val="0025184C"/>
    <w:rsid w:val="00254EB2"/>
    <w:rsid w:val="0025768E"/>
    <w:rsid w:val="00260735"/>
    <w:rsid w:val="002638ED"/>
    <w:rsid w:val="00263F40"/>
    <w:rsid w:val="00264D40"/>
    <w:rsid w:val="00265653"/>
    <w:rsid w:val="00265CE9"/>
    <w:rsid w:val="00265D4E"/>
    <w:rsid w:val="00266A12"/>
    <w:rsid w:val="002675F0"/>
    <w:rsid w:val="0027462C"/>
    <w:rsid w:val="002747CF"/>
    <w:rsid w:val="00275870"/>
    <w:rsid w:val="00275A07"/>
    <w:rsid w:val="00276EE4"/>
    <w:rsid w:val="00280061"/>
    <w:rsid w:val="00282310"/>
    <w:rsid w:val="00282FF5"/>
    <w:rsid w:val="002837AB"/>
    <w:rsid w:val="00284F86"/>
    <w:rsid w:val="002850CD"/>
    <w:rsid w:val="0028541B"/>
    <w:rsid w:val="00285995"/>
    <w:rsid w:val="002878AF"/>
    <w:rsid w:val="00290446"/>
    <w:rsid w:val="00290461"/>
    <w:rsid w:val="00290AB2"/>
    <w:rsid w:val="00290BFF"/>
    <w:rsid w:val="00294D8F"/>
    <w:rsid w:val="00295383"/>
    <w:rsid w:val="00295DB7"/>
    <w:rsid w:val="002973D6"/>
    <w:rsid w:val="002A14D6"/>
    <w:rsid w:val="002A5053"/>
    <w:rsid w:val="002A6634"/>
    <w:rsid w:val="002A6938"/>
    <w:rsid w:val="002B093B"/>
    <w:rsid w:val="002B21D5"/>
    <w:rsid w:val="002B29CA"/>
    <w:rsid w:val="002B6339"/>
    <w:rsid w:val="002B7CB2"/>
    <w:rsid w:val="002C04C0"/>
    <w:rsid w:val="002C0B6A"/>
    <w:rsid w:val="002C3C89"/>
    <w:rsid w:val="002C628F"/>
    <w:rsid w:val="002C71CB"/>
    <w:rsid w:val="002D00C7"/>
    <w:rsid w:val="002D0D9B"/>
    <w:rsid w:val="002D2683"/>
    <w:rsid w:val="002D32F9"/>
    <w:rsid w:val="002D58F3"/>
    <w:rsid w:val="002D7D40"/>
    <w:rsid w:val="002E00EE"/>
    <w:rsid w:val="002E026E"/>
    <w:rsid w:val="002E154F"/>
    <w:rsid w:val="002E42AD"/>
    <w:rsid w:val="002E7C7C"/>
    <w:rsid w:val="002F0AD4"/>
    <w:rsid w:val="002F1288"/>
    <w:rsid w:val="002F24EA"/>
    <w:rsid w:val="002F618C"/>
    <w:rsid w:val="002F6EC7"/>
    <w:rsid w:val="002F75FE"/>
    <w:rsid w:val="002F7615"/>
    <w:rsid w:val="00301F04"/>
    <w:rsid w:val="00304696"/>
    <w:rsid w:val="00305680"/>
    <w:rsid w:val="003072EF"/>
    <w:rsid w:val="00312AC1"/>
    <w:rsid w:val="00313B8F"/>
    <w:rsid w:val="0031454C"/>
    <w:rsid w:val="00314DEF"/>
    <w:rsid w:val="00314EA5"/>
    <w:rsid w:val="00315619"/>
    <w:rsid w:val="00315EFF"/>
    <w:rsid w:val="003172DC"/>
    <w:rsid w:val="0031738A"/>
    <w:rsid w:val="0032054E"/>
    <w:rsid w:val="003207BB"/>
    <w:rsid w:val="00320D9C"/>
    <w:rsid w:val="0032207C"/>
    <w:rsid w:val="00322AC0"/>
    <w:rsid w:val="003247C7"/>
    <w:rsid w:val="003256E0"/>
    <w:rsid w:val="00326397"/>
    <w:rsid w:val="00330763"/>
    <w:rsid w:val="00333DB1"/>
    <w:rsid w:val="00337522"/>
    <w:rsid w:val="0034052F"/>
    <w:rsid w:val="003411FA"/>
    <w:rsid w:val="00341645"/>
    <w:rsid w:val="00342B76"/>
    <w:rsid w:val="00345767"/>
    <w:rsid w:val="0034688C"/>
    <w:rsid w:val="00352736"/>
    <w:rsid w:val="00353770"/>
    <w:rsid w:val="0035462D"/>
    <w:rsid w:val="0035482B"/>
    <w:rsid w:val="0035497B"/>
    <w:rsid w:val="00355233"/>
    <w:rsid w:val="00362052"/>
    <w:rsid w:val="00362234"/>
    <w:rsid w:val="00362E0C"/>
    <w:rsid w:val="00366620"/>
    <w:rsid w:val="003707BA"/>
    <w:rsid w:val="00375914"/>
    <w:rsid w:val="003765B8"/>
    <w:rsid w:val="003841D8"/>
    <w:rsid w:val="0038532B"/>
    <w:rsid w:val="00386C52"/>
    <w:rsid w:val="0038713A"/>
    <w:rsid w:val="00393EA8"/>
    <w:rsid w:val="00396F38"/>
    <w:rsid w:val="003A0483"/>
    <w:rsid w:val="003A0F03"/>
    <w:rsid w:val="003A1234"/>
    <w:rsid w:val="003A2A5E"/>
    <w:rsid w:val="003A2CEE"/>
    <w:rsid w:val="003A61A9"/>
    <w:rsid w:val="003B2990"/>
    <w:rsid w:val="003B316A"/>
    <w:rsid w:val="003B7B22"/>
    <w:rsid w:val="003C1374"/>
    <w:rsid w:val="003C20DE"/>
    <w:rsid w:val="003C2875"/>
    <w:rsid w:val="003C366F"/>
    <w:rsid w:val="003C3971"/>
    <w:rsid w:val="003C3BBC"/>
    <w:rsid w:val="003C4BED"/>
    <w:rsid w:val="003C5474"/>
    <w:rsid w:val="003C71CD"/>
    <w:rsid w:val="003D58A2"/>
    <w:rsid w:val="003D6AF1"/>
    <w:rsid w:val="003E0925"/>
    <w:rsid w:val="003E1967"/>
    <w:rsid w:val="003E1BFA"/>
    <w:rsid w:val="003E244D"/>
    <w:rsid w:val="003E3995"/>
    <w:rsid w:val="003E3FEE"/>
    <w:rsid w:val="003E4526"/>
    <w:rsid w:val="003E5140"/>
    <w:rsid w:val="003E519A"/>
    <w:rsid w:val="003E62EA"/>
    <w:rsid w:val="003E7753"/>
    <w:rsid w:val="003F0B2B"/>
    <w:rsid w:val="003F0D25"/>
    <w:rsid w:val="003F3BAF"/>
    <w:rsid w:val="003F44BB"/>
    <w:rsid w:val="003F5BEB"/>
    <w:rsid w:val="00400DB6"/>
    <w:rsid w:val="004039C0"/>
    <w:rsid w:val="00403EE0"/>
    <w:rsid w:val="00403F42"/>
    <w:rsid w:val="004065D2"/>
    <w:rsid w:val="004105B2"/>
    <w:rsid w:val="004109AA"/>
    <w:rsid w:val="00412A18"/>
    <w:rsid w:val="00416761"/>
    <w:rsid w:val="00416ECC"/>
    <w:rsid w:val="00420407"/>
    <w:rsid w:val="00421408"/>
    <w:rsid w:val="00423334"/>
    <w:rsid w:val="00427383"/>
    <w:rsid w:val="0043111D"/>
    <w:rsid w:val="004345EC"/>
    <w:rsid w:val="0043504A"/>
    <w:rsid w:val="00440802"/>
    <w:rsid w:val="00440DFC"/>
    <w:rsid w:val="00443793"/>
    <w:rsid w:val="00445AEA"/>
    <w:rsid w:val="00447588"/>
    <w:rsid w:val="004479D9"/>
    <w:rsid w:val="00450415"/>
    <w:rsid w:val="00452D32"/>
    <w:rsid w:val="0045321B"/>
    <w:rsid w:val="00460CED"/>
    <w:rsid w:val="00461071"/>
    <w:rsid w:val="004613F4"/>
    <w:rsid w:val="0046392B"/>
    <w:rsid w:val="00464A12"/>
    <w:rsid w:val="00465AB5"/>
    <w:rsid w:val="00466F52"/>
    <w:rsid w:val="00472C56"/>
    <w:rsid w:val="004768CA"/>
    <w:rsid w:val="00476F9F"/>
    <w:rsid w:val="004814C2"/>
    <w:rsid w:val="0048151B"/>
    <w:rsid w:val="004826A9"/>
    <w:rsid w:val="00485460"/>
    <w:rsid w:val="004927D1"/>
    <w:rsid w:val="004963B7"/>
    <w:rsid w:val="004A00E1"/>
    <w:rsid w:val="004A2438"/>
    <w:rsid w:val="004A2A8F"/>
    <w:rsid w:val="004A5928"/>
    <w:rsid w:val="004A7E47"/>
    <w:rsid w:val="004B14A7"/>
    <w:rsid w:val="004B25FA"/>
    <w:rsid w:val="004B36C7"/>
    <w:rsid w:val="004B3A8C"/>
    <w:rsid w:val="004B3E09"/>
    <w:rsid w:val="004B4936"/>
    <w:rsid w:val="004C1601"/>
    <w:rsid w:val="004C1E26"/>
    <w:rsid w:val="004C2930"/>
    <w:rsid w:val="004C50BE"/>
    <w:rsid w:val="004D3578"/>
    <w:rsid w:val="004D6174"/>
    <w:rsid w:val="004D650E"/>
    <w:rsid w:val="004D7702"/>
    <w:rsid w:val="004E0018"/>
    <w:rsid w:val="004E13CF"/>
    <w:rsid w:val="004E213A"/>
    <w:rsid w:val="004E2388"/>
    <w:rsid w:val="004E2E65"/>
    <w:rsid w:val="004E4063"/>
    <w:rsid w:val="004E49CF"/>
    <w:rsid w:val="004E4D9F"/>
    <w:rsid w:val="004E7CE9"/>
    <w:rsid w:val="004F0676"/>
    <w:rsid w:val="004F08E6"/>
    <w:rsid w:val="004F0988"/>
    <w:rsid w:val="004F09B5"/>
    <w:rsid w:val="004F0BEE"/>
    <w:rsid w:val="004F140E"/>
    <w:rsid w:val="004F3340"/>
    <w:rsid w:val="004F3E3D"/>
    <w:rsid w:val="004F3F58"/>
    <w:rsid w:val="004F4BA2"/>
    <w:rsid w:val="004F6023"/>
    <w:rsid w:val="004F62B4"/>
    <w:rsid w:val="00500BA2"/>
    <w:rsid w:val="00501135"/>
    <w:rsid w:val="00503087"/>
    <w:rsid w:val="0051569B"/>
    <w:rsid w:val="0052078E"/>
    <w:rsid w:val="00520C77"/>
    <w:rsid w:val="00521653"/>
    <w:rsid w:val="005217BD"/>
    <w:rsid w:val="00525AE1"/>
    <w:rsid w:val="00526F25"/>
    <w:rsid w:val="00530EC9"/>
    <w:rsid w:val="005310AD"/>
    <w:rsid w:val="005321D8"/>
    <w:rsid w:val="005324C5"/>
    <w:rsid w:val="0053388B"/>
    <w:rsid w:val="00534086"/>
    <w:rsid w:val="00535043"/>
    <w:rsid w:val="00535773"/>
    <w:rsid w:val="00540433"/>
    <w:rsid w:val="00543C32"/>
    <w:rsid w:val="00543E6C"/>
    <w:rsid w:val="0054522A"/>
    <w:rsid w:val="0055015A"/>
    <w:rsid w:val="0055075C"/>
    <w:rsid w:val="0055246F"/>
    <w:rsid w:val="00556359"/>
    <w:rsid w:val="005608D6"/>
    <w:rsid w:val="0056092D"/>
    <w:rsid w:val="005619FB"/>
    <w:rsid w:val="00561C64"/>
    <w:rsid w:val="00562E95"/>
    <w:rsid w:val="00565087"/>
    <w:rsid w:val="00567990"/>
    <w:rsid w:val="00572CE0"/>
    <w:rsid w:val="00572E14"/>
    <w:rsid w:val="005738D7"/>
    <w:rsid w:val="00574D65"/>
    <w:rsid w:val="00575C63"/>
    <w:rsid w:val="00575F62"/>
    <w:rsid w:val="00581376"/>
    <w:rsid w:val="00582F56"/>
    <w:rsid w:val="00585337"/>
    <w:rsid w:val="005875BC"/>
    <w:rsid w:val="005879E9"/>
    <w:rsid w:val="00587D7C"/>
    <w:rsid w:val="00587E1A"/>
    <w:rsid w:val="005947D4"/>
    <w:rsid w:val="00595485"/>
    <w:rsid w:val="00596902"/>
    <w:rsid w:val="005973BE"/>
    <w:rsid w:val="005A214A"/>
    <w:rsid w:val="005A2D62"/>
    <w:rsid w:val="005A5986"/>
    <w:rsid w:val="005B0376"/>
    <w:rsid w:val="005B07A6"/>
    <w:rsid w:val="005B13CD"/>
    <w:rsid w:val="005B36F2"/>
    <w:rsid w:val="005C0913"/>
    <w:rsid w:val="005C2D97"/>
    <w:rsid w:val="005C78F4"/>
    <w:rsid w:val="005C7988"/>
    <w:rsid w:val="005D0C66"/>
    <w:rsid w:val="005D1E53"/>
    <w:rsid w:val="005D2D34"/>
    <w:rsid w:val="005D2E01"/>
    <w:rsid w:val="005D32B4"/>
    <w:rsid w:val="005D4EFC"/>
    <w:rsid w:val="005D6654"/>
    <w:rsid w:val="005D7526"/>
    <w:rsid w:val="005E0606"/>
    <w:rsid w:val="005E3054"/>
    <w:rsid w:val="005E3A94"/>
    <w:rsid w:val="005E69AE"/>
    <w:rsid w:val="005F1FFE"/>
    <w:rsid w:val="005F426D"/>
    <w:rsid w:val="005F42E3"/>
    <w:rsid w:val="00601A86"/>
    <w:rsid w:val="00601C7E"/>
    <w:rsid w:val="00602AEA"/>
    <w:rsid w:val="00603BD9"/>
    <w:rsid w:val="006042D8"/>
    <w:rsid w:val="00606043"/>
    <w:rsid w:val="00607992"/>
    <w:rsid w:val="00607E3C"/>
    <w:rsid w:val="006121C1"/>
    <w:rsid w:val="00612B14"/>
    <w:rsid w:val="00614FDF"/>
    <w:rsid w:val="00617EE1"/>
    <w:rsid w:val="00620474"/>
    <w:rsid w:val="00621171"/>
    <w:rsid w:val="006246A7"/>
    <w:rsid w:val="006249EC"/>
    <w:rsid w:val="0062595A"/>
    <w:rsid w:val="00626462"/>
    <w:rsid w:val="00626849"/>
    <w:rsid w:val="0062739B"/>
    <w:rsid w:val="006321AD"/>
    <w:rsid w:val="00632C1E"/>
    <w:rsid w:val="00632D3B"/>
    <w:rsid w:val="0063385E"/>
    <w:rsid w:val="0063543D"/>
    <w:rsid w:val="00637CE3"/>
    <w:rsid w:val="00640B80"/>
    <w:rsid w:val="00642AB8"/>
    <w:rsid w:val="00644D15"/>
    <w:rsid w:val="00645D18"/>
    <w:rsid w:val="00647114"/>
    <w:rsid w:val="00647899"/>
    <w:rsid w:val="00647F64"/>
    <w:rsid w:val="0065124D"/>
    <w:rsid w:val="006528F9"/>
    <w:rsid w:val="00654AC5"/>
    <w:rsid w:val="00655611"/>
    <w:rsid w:val="0065677A"/>
    <w:rsid w:val="00657667"/>
    <w:rsid w:val="00663953"/>
    <w:rsid w:val="006711EB"/>
    <w:rsid w:val="0067477E"/>
    <w:rsid w:val="0068172C"/>
    <w:rsid w:val="00685DB8"/>
    <w:rsid w:val="0068631F"/>
    <w:rsid w:val="00691346"/>
    <w:rsid w:val="006923F9"/>
    <w:rsid w:val="00692E2D"/>
    <w:rsid w:val="0069447F"/>
    <w:rsid w:val="00694BDC"/>
    <w:rsid w:val="00696FA7"/>
    <w:rsid w:val="006A0FE3"/>
    <w:rsid w:val="006A145F"/>
    <w:rsid w:val="006A1483"/>
    <w:rsid w:val="006A323F"/>
    <w:rsid w:val="006A567F"/>
    <w:rsid w:val="006A60E7"/>
    <w:rsid w:val="006A796F"/>
    <w:rsid w:val="006B0945"/>
    <w:rsid w:val="006B0A20"/>
    <w:rsid w:val="006B1D39"/>
    <w:rsid w:val="006B30D0"/>
    <w:rsid w:val="006B35E3"/>
    <w:rsid w:val="006B444A"/>
    <w:rsid w:val="006B6265"/>
    <w:rsid w:val="006B7323"/>
    <w:rsid w:val="006B7ADE"/>
    <w:rsid w:val="006C3B7F"/>
    <w:rsid w:val="006C3B9C"/>
    <w:rsid w:val="006C3D95"/>
    <w:rsid w:val="006D51E9"/>
    <w:rsid w:val="006D5BAF"/>
    <w:rsid w:val="006E0313"/>
    <w:rsid w:val="006E055F"/>
    <w:rsid w:val="006E1E50"/>
    <w:rsid w:val="006E2495"/>
    <w:rsid w:val="006E49E6"/>
    <w:rsid w:val="006E4B9E"/>
    <w:rsid w:val="006E5C86"/>
    <w:rsid w:val="006E6B0F"/>
    <w:rsid w:val="006F05C7"/>
    <w:rsid w:val="006F1F0D"/>
    <w:rsid w:val="006F20E3"/>
    <w:rsid w:val="006F2C60"/>
    <w:rsid w:val="006F62ED"/>
    <w:rsid w:val="006F7549"/>
    <w:rsid w:val="007015CA"/>
    <w:rsid w:val="00701743"/>
    <w:rsid w:val="00701B43"/>
    <w:rsid w:val="00703CAB"/>
    <w:rsid w:val="00705012"/>
    <w:rsid w:val="00706B00"/>
    <w:rsid w:val="00707011"/>
    <w:rsid w:val="00712FC4"/>
    <w:rsid w:val="00713903"/>
    <w:rsid w:val="00713C44"/>
    <w:rsid w:val="00715960"/>
    <w:rsid w:val="00724B9B"/>
    <w:rsid w:val="0072574E"/>
    <w:rsid w:val="0072603E"/>
    <w:rsid w:val="007263E6"/>
    <w:rsid w:val="00733556"/>
    <w:rsid w:val="007338F8"/>
    <w:rsid w:val="00734A5B"/>
    <w:rsid w:val="00736204"/>
    <w:rsid w:val="007364FF"/>
    <w:rsid w:val="00736DF2"/>
    <w:rsid w:val="0074026F"/>
    <w:rsid w:val="0074227B"/>
    <w:rsid w:val="007429F6"/>
    <w:rsid w:val="00744E76"/>
    <w:rsid w:val="0074521D"/>
    <w:rsid w:val="00746009"/>
    <w:rsid w:val="00752198"/>
    <w:rsid w:val="00753881"/>
    <w:rsid w:val="007543D4"/>
    <w:rsid w:val="00754E24"/>
    <w:rsid w:val="007601D9"/>
    <w:rsid w:val="00760742"/>
    <w:rsid w:val="007642B7"/>
    <w:rsid w:val="0076797D"/>
    <w:rsid w:val="00767B36"/>
    <w:rsid w:val="007709A0"/>
    <w:rsid w:val="0077266C"/>
    <w:rsid w:val="0077411B"/>
    <w:rsid w:val="00774153"/>
    <w:rsid w:val="00774DA4"/>
    <w:rsid w:val="007752C2"/>
    <w:rsid w:val="0077786A"/>
    <w:rsid w:val="00777F7E"/>
    <w:rsid w:val="007800E5"/>
    <w:rsid w:val="007806EC"/>
    <w:rsid w:val="00781F0F"/>
    <w:rsid w:val="0078418F"/>
    <w:rsid w:val="00785461"/>
    <w:rsid w:val="00786BEB"/>
    <w:rsid w:val="00786D2D"/>
    <w:rsid w:val="0079015F"/>
    <w:rsid w:val="00792798"/>
    <w:rsid w:val="007947E3"/>
    <w:rsid w:val="0079583D"/>
    <w:rsid w:val="00795B34"/>
    <w:rsid w:val="007A451B"/>
    <w:rsid w:val="007A5762"/>
    <w:rsid w:val="007A78C2"/>
    <w:rsid w:val="007B5F2D"/>
    <w:rsid w:val="007B600E"/>
    <w:rsid w:val="007B670C"/>
    <w:rsid w:val="007B77E2"/>
    <w:rsid w:val="007C0358"/>
    <w:rsid w:val="007C1BA8"/>
    <w:rsid w:val="007C4E4D"/>
    <w:rsid w:val="007D0C84"/>
    <w:rsid w:val="007D3C4C"/>
    <w:rsid w:val="007D4055"/>
    <w:rsid w:val="007D4A21"/>
    <w:rsid w:val="007D4BDF"/>
    <w:rsid w:val="007E1FDF"/>
    <w:rsid w:val="007E22B1"/>
    <w:rsid w:val="007E2512"/>
    <w:rsid w:val="007E4B54"/>
    <w:rsid w:val="007E5CC7"/>
    <w:rsid w:val="007F003C"/>
    <w:rsid w:val="007F0F4A"/>
    <w:rsid w:val="007F0F70"/>
    <w:rsid w:val="007F1444"/>
    <w:rsid w:val="007F5EC7"/>
    <w:rsid w:val="00801906"/>
    <w:rsid w:val="00801B0E"/>
    <w:rsid w:val="008028A4"/>
    <w:rsid w:val="00802AA6"/>
    <w:rsid w:val="00802CAA"/>
    <w:rsid w:val="00803FCB"/>
    <w:rsid w:val="00804AF0"/>
    <w:rsid w:val="00804CB7"/>
    <w:rsid w:val="00805D70"/>
    <w:rsid w:val="008062F0"/>
    <w:rsid w:val="008100C0"/>
    <w:rsid w:val="008133D7"/>
    <w:rsid w:val="00814224"/>
    <w:rsid w:val="00815BE7"/>
    <w:rsid w:val="00816D39"/>
    <w:rsid w:val="00816D4A"/>
    <w:rsid w:val="00820AE8"/>
    <w:rsid w:val="00820B25"/>
    <w:rsid w:val="00821380"/>
    <w:rsid w:val="00821E2F"/>
    <w:rsid w:val="00822F61"/>
    <w:rsid w:val="00827107"/>
    <w:rsid w:val="00830747"/>
    <w:rsid w:val="008339AE"/>
    <w:rsid w:val="00837459"/>
    <w:rsid w:val="00841567"/>
    <w:rsid w:val="0084409C"/>
    <w:rsid w:val="0084594B"/>
    <w:rsid w:val="00846EB2"/>
    <w:rsid w:val="00851366"/>
    <w:rsid w:val="00853C02"/>
    <w:rsid w:val="00856309"/>
    <w:rsid w:val="0085728A"/>
    <w:rsid w:val="008573B3"/>
    <w:rsid w:val="008579AF"/>
    <w:rsid w:val="008624E8"/>
    <w:rsid w:val="00863860"/>
    <w:rsid w:val="00863A5E"/>
    <w:rsid w:val="00864F5A"/>
    <w:rsid w:val="00866F8F"/>
    <w:rsid w:val="00874F78"/>
    <w:rsid w:val="008768CA"/>
    <w:rsid w:val="0087777C"/>
    <w:rsid w:val="008825FE"/>
    <w:rsid w:val="00884A7F"/>
    <w:rsid w:val="0088617D"/>
    <w:rsid w:val="00886378"/>
    <w:rsid w:val="00886399"/>
    <w:rsid w:val="00886CC1"/>
    <w:rsid w:val="00887C25"/>
    <w:rsid w:val="0089068C"/>
    <w:rsid w:val="008911F9"/>
    <w:rsid w:val="0089262D"/>
    <w:rsid w:val="00892B5B"/>
    <w:rsid w:val="008960A1"/>
    <w:rsid w:val="00896227"/>
    <w:rsid w:val="008969BE"/>
    <w:rsid w:val="00896B8B"/>
    <w:rsid w:val="00897CD9"/>
    <w:rsid w:val="008A00CD"/>
    <w:rsid w:val="008A1A3D"/>
    <w:rsid w:val="008B0C1C"/>
    <w:rsid w:val="008B70CA"/>
    <w:rsid w:val="008B7530"/>
    <w:rsid w:val="008B78D0"/>
    <w:rsid w:val="008B7F83"/>
    <w:rsid w:val="008C0513"/>
    <w:rsid w:val="008C384C"/>
    <w:rsid w:val="008D1464"/>
    <w:rsid w:val="008D1A64"/>
    <w:rsid w:val="008D2F3C"/>
    <w:rsid w:val="008D56C7"/>
    <w:rsid w:val="008D7ADC"/>
    <w:rsid w:val="008E1B48"/>
    <w:rsid w:val="008E2E89"/>
    <w:rsid w:val="008E3089"/>
    <w:rsid w:val="008E7986"/>
    <w:rsid w:val="008F0731"/>
    <w:rsid w:val="008F53FA"/>
    <w:rsid w:val="008F5A08"/>
    <w:rsid w:val="008F5B3A"/>
    <w:rsid w:val="008F61EB"/>
    <w:rsid w:val="008F6389"/>
    <w:rsid w:val="008F6B7B"/>
    <w:rsid w:val="0090166D"/>
    <w:rsid w:val="0090187B"/>
    <w:rsid w:val="0090271F"/>
    <w:rsid w:val="00902E23"/>
    <w:rsid w:val="00905116"/>
    <w:rsid w:val="00905DA6"/>
    <w:rsid w:val="00907C28"/>
    <w:rsid w:val="009114D7"/>
    <w:rsid w:val="00911D63"/>
    <w:rsid w:val="00912D90"/>
    <w:rsid w:val="00912E7D"/>
    <w:rsid w:val="0091348E"/>
    <w:rsid w:val="0091484A"/>
    <w:rsid w:val="009149BA"/>
    <w:rsid w:val="00916172"/>
    <w:rsid w:val="00917CCB"/>
    <w:rsid w:val="00922EA1"/>
    <w:rsid w:val="00926896"/>
    <w:rsid w:val="00930B55"/>
    <w:rsid w:val="00936AF1"/>
    <w:rsid w:val="00942EC2"/>
    <w:rsid w:val="009454A7"/>
    <w:rsid w:val="00947481"/>
    <w:rsid w:val="00947C8A"/>
    <w:rsid w:val="009529CA"/>
    <w:rsid w:val="0095327C"/>
    <w:rsid w:val="00960A74"/>
    <w:rsid w:val="009636D6"/>
    <w:rsid w:val="00964278"/>
    <w:rsid w:val="009671EA"/>
    <w:rsid w:val="00971A70"/>
    <w:rsid w:val="00976396"/>
    <w:rsid w:val="009766F6"/>
    <w:rsid w:val="00977A32"/>
    <w:rsid w:val="00982B60"/>
    <w:rsid w:val="009844CB"/>
    <w:rsid w:val="00987856"/>
    <w:rsid w:val="009975BF"/>
    <w:rsid w:val="009A64E3"/>
    <w:rsid w:val="009A7F0A"/>
    <w:rsid w:val="009B0425"/>
    <w:rsid w:val="009B16B6"/>
    <w:rsid w:val="009C046D"/>
    <w:rsid w:val="009C3654"/>
    <w:rsid w:val="009C5D29"/>
    <w:rsid w:val="009D0E1E"/>
    <w:rsid w:val="009D1606"/>
    <w:rsid w:val="009D3C04"/>
    <w:rsid w:val="009D3FE5"/>
    <w:rsid w:val="009E011C"/>
    <w:rsid w:val="009E4913"/>
    <w:rsid w:val="009E4F4B"/>
    <w:rsid w:val="009F094B"/>
    <w:rsid w:val="009F172F"/>
    <w:rsid w:val="009F1B1C"/>
    <w:rsid w:val="009F2438"/>
    <w:rsid w:val="009F37B7"/>
    <w:rsid w:val="009F40C7"/>
    <w:rsid w:val="009F5E43"/>
    <w:rsid w:val="00A002C5"/>
    <w:rsid w:val="00A01249"/>
    <w:rsid w:val="00A06573"/>
    <w:rsid w:val="00A07D40"/>
    <w:rsid w:val="00A10F02"/>
    <w:rsid w:val="00A11CE8"/>
    <w:rsid w:val="00A13331"/>
    <w:rsid w:val="00A164B4"/>
    <w:rsid w:val="00A168EF"/>
    <w:rsid w:val="00A201FB"/>
    <w:rsid w:val="00A202BF"/>
    <w:rsid w:val="00A20351"/>
    <w:rsid w:val="00A218EA"/>
    <w:rsid w:val="00A2645B"/>
    <w:rsid w:val="00A26956"/>
    <w:rsid w:val="00A26A10"/>
    <w:rsid w:val="00A27650"/>
    <w:rsid w:val="00A3170D"/>
    <w:rsid w:val="00A31C49"/>
    <w:rsid w:val="00A32D92"/>
    <w:rsid w:val="00A32F65"/>
    <w:rsid w:val="00A36D29"/>
    <w:rsid w:val="00A400D1"/>
    <w:rsid w:val="00A43061"/>
    <w:rsid w:val="00A47651"/>
    <w:rsid w:val="00A5038C"/>
    <w:rsid w:val="00A5266F"/>
    <w:rsid w:val="00A53039"/>
    <w:rsid w:val="00A53724"/>
    <w:rsid w:val="00A5780F"/>
    <w:rsid w:val="00A602BD"/>
    <w:rsid w:val="00A61060"/>
    <w:rsid w:val="00A61773"/>
    <w:rsid w:val="00A65E04"/>
    <w:rsid w:val="00A661E3"/>
    <w:rsid w:val="00A6766E"/>
    <w:rsid w:val="00A676E9"/>
    <w:rsid w:val="00A677CB"/>
    <w:rsid w:val="00A67C08"/>
    <w:rsid w:val="00A704FD"/>
    <w:rsid w:val="00A71399"/>
    <w:rsid w:val="00A718E0"/>
    <w:rsid w:val="00A71DF7"/>
    <w:rsid w:val="00A72633"/>
    <w:rsid w:val="00A72CC5"/>
    <w:rsid w:val="00A73058"/>
    <w:rsid w:val="00A73129"/>
    <w:rsid w:val="00A7499B"/>
    <w:rsid w:val="00A76C4D"/>
    <w:rsid w:val="00A776ED"/>
    <w:rsid w:val="00A81F5A"/>
    <w:rsid w:val="00A82346"/>
    <w:rsid w:val="00A82E4D"/>
    <w:rsid w:val="00A841D7"/>
    <w:rsid w:val="00A9088F"/>
    <w:rsid w:val="00A91205"/>
    <w:rsid w:val="00A91F5B"/>
    <w:rsid w:val="00A923DB"/>
    <w:rsid w:val="00A928D6"/>
    <w:rsid w:val="00A92BA1"/>
    <w:rsid w:val="00A93385"/>
    <w:rsid w:val="00A93E7C"/>
    <w:rsid w:val="00A94DD6"/>
    <w:rsid w:val="00A97C9B"/>
    <w:rsid w:val="00AA1FA2"/>
    <w:rsid w:val="00AA37A7"/>
    <w:rsid w:val="00AA489A"/>
    <w:rsid w:val="00AA4B14"/>
    <w:rsid w:val="00AA5E47"/>
    <w:rsid w:val="00AA746C"/>
    <w:rsid w:val="00AA77B5"/>
    <w:rsid w:val="00AB37E2"/>
    <w:rsid w:val="00AB694A"/>
    <w:rsid w:val="00AB7094"/>
    <w:rsid w:val="00AC1732"/>
    <w:rsid w:val="00AC1AC0"/>
    <w:rsid w:val="00AC31DA"/>
    <w:rsid w:val="00AC4276"/>
    <w:rsid w:val="00AC48C5"/>
    <w:rsid w:val="00AC6BC6"/>
    <w:rsid w:val="00AC7371"/>
    <w:rsid w:val="00AD06D3"/>
    <w:rsid w:val="00AD3D1D"/>
    <w:rsid w:val="00AD4EFF"/>
    <w:rsid w:val="00AD7DD5"/>
    <w:rsid w:val="00AE204E"/>
    <w:rsid w:val="00AE232B"/>
    <w:rsid w:val="00AE3797"/>
    <w:rsid w:val="00AE6F99"/>
    <w:rsid w:val="00AE7CE8"/>
    <w:rsid w:val="00AF03C7"/>
    <w:rsid w:val="00AF0565"/>
    <w:rsid w:val="00AF2BD7"/>
    <w:rsid w:val="00AF2E65"/>
    <w:rsid w:val="00AF3D4D"/>
    <w:rsid w:val="00AF5EDA"/>
    <w:rsid w:val="00B003B6"/>
    <w:rsid w:val="00B009DB"/>
    <w:rsid w:val="00B02810"/>
    <w:rsid w:val="00B02A63"/>
    <w:rsid w:val="00B0372C"/>
    <w:rsid w:val="00B03D04"/>
    <w:rsid w:val="00B070F5"/>
    <w:rsid w:val="00B1134D"/>
    <w:rsid w:val="00B1519E"/>
    <w:rsid w:val="00B15449"/>
    <w:rsid w:val="00B20A75"/>
    <w:rsid w:val="00B23770"/>
    <w:rsid w:val="00B31CA8"/>
    <w:rsid w:val="00B3628F"/>
    <w:rsid w:val="00B37DD7"/>
    <w:rsid w:val="00B45A6A"/>
    <w:rsid w:val="00B46CCE"/>
    <w:rsid w:val="00B50268"/>
    <w:rsid w:val="00B520FF"/>
    <w:rsid w:val="00B53ED6"/>
    <w:rsid w:val="00B55FC4"/>
    <w:rsid w:val="00B6047F"/>
    <w:rsid w:val="00B6199A"/>
    <w:rsid w:val="00B62D37"/>
    <w:rsid w:val="00B65CD6"/>
    <w:rsid w:val="00B702AA"/>
    <w:rsid w:val="00B75F87"/>
    <w:rsid w:val="00B76E61"/>
    <w:rsid w:val="00B7715C"/>
    <w:rsid w:val="00B77224"/>
    <w:rsid w:val="00B77F69"/>
    <w:rsid w:val="00B83E32"/>
    <w:rsid w:val="00B8624F"/>
    <w:rsid w:val="00B93086"/>
    <w:rsid w:val="00B96EEA"/>
    <w:rsid w:val="00BA0393"/>
    <w:rsid w:val="00BA0A1E"/>
    <w:rsid w:val="00BA1014"/>
    <w:rsid w:val="00BA19ED"/>
    <w:rsid w:val="00BA300B"/>
    <w:rsid w:val="00BA37D7"/>
    <w:rsid w:val="00BA4B8D"/>
    <w:rsid w:val="00BA7D7E"/>
    <w:rsid w:val="00BB01A7"/>
    <w:rsid w:val="00BB092B"/>
    <w:rsid w:val="00BB11C4"/>
    <w:rsid w:val="00BB26D3"/>
    <w:rsid w:val="00BB2ED5"/>
    <w:rsid w:val="00BB33A0"/>
    <w:rsid w:val="00BB3E87"/>
    <w:rsid w:val="00BB4143"/>
    <w:rsid w:val="00BB787C"/>
    <w:rsid w:val="00BB7BE7"/>
    <w:rsid w:val="00BC0F7D"/>
    <w:rsid w:val="00BC1ED0"/>
    <w:rsid w:val="00BC4381"/>
    <w:rsid w:val="00BC7FA1"/>
    <w:rsid w:val="00BD0602"/>
    <w:rsid w:val="00BD1B2D"/>
    <w:rsid w:val="00BD2A46"/>
    <w:rsid w:val="00BD3E12"/>
    <w:rsid w:val="00BD4E71"/>
    <w:rsid w:val="00BD513C"/>
    <w:rsid w:val="00BD5E10"/>
    <w:rsid w:val="00BD602B"/>
    <w:rsid w:val="00BD716B"/>
    <w:rsid w:val="00BE2402"/>
    <w:rsid w:val="00BE3255"/>
    <w:rsid w:val="00BE3EBF"/>
    <w:rsid w:val="00BE6EC9"/>
    <w:rsid w:val="00BF128E"/>
    <w:rsid w:val="00BF1C7D"/>
    <w:rsid w:val="00BF5647"/>
    <w:rsid w:val="00BF6530"/>
    <w:rsid w:val="00C00A12"/>
    <w:rsid w:val="00C00EB4"/>
    <w:rsid w:val="00C0300E"/>
    <w:rsid w:val="00C07A72"/>
    <w:rsid w:val="00C10623"/>
    <w:rsid w:val="00C11577"/>
    <w:rsid w:val="00C12127"/>
    <w:rsid w:val="00C12AA2"/>
    <w:rsid w:val="00C1496A"/>
    <w:rsid w:val="00C166C7"/>
    <w:rsid w:val="00C17CD3"/>
    <w:rsid w:val="00C2086E"/>
    <w:rsid w:val="00C2233E"/>
    <w:rsid w:val="00C263E6"/>
    <w:rsid w:val="00C3091F"/>
    <w:rsid w:val="00C311E4"/>
    <w:rsid w:val="00C313BD"/>
    <w:rsid w:val="00C326D7"/>
    <w:rsid w:val="00C33079"/>
    <w:rsid w:val="00C3536D"/>
    <w:rsid w:val="00C3558C"/>
    <w:rsid w:val="00C37672"/>
    <w:rsid w:val="00C435F5"/>
    <w:rsid w:val="00C444F2"/>
    <w:rsid w:val="00C45231"/>
    <w:rsid w:val="00C4550B"/>
    <w:rsid w:val="00C45CEA"/>
    <w:rsid w:val="00C46AAE"/>
    <w:rsid w:val="00C541A3"/>
    <w:rsid w:val="00C560DC"/>
    <w:rsid w:val="00C56B0D"/>
    <w:rsid w:val="00C616B8"/>
    <w:rsid w:val="00C61F87"/>
    <w:rsid w:val="00C62F3E"/>
    <w:rsid w:val="00C64F89"/>
    <w:rsid w:val="00C65AB2"/>
    <w:rsid w:val="00C702A7"/>
    <w:rsid w:val="00C72833"/>
    <w:rsid w:val="00C72A0B"/>
    <w:rsid w:val="00C756A7"/>
    <w:rsid w:val="00C7680F"/>
    <w:rsid w:val="00C76940"/>
    <w:rsid w:val="00C77EA5"/>
    <w:rsid w:val="00C801B0"/>
    <w:rsid w:val="00C80F1D"/>
    <w:rsid w:val="00C81581"/>
    <w:rsid w:val="00C8270F"/>
    <w:rsid w:val="00C82726"/>
    <w:rsid w:val="00C837D1"/>
    <w:rsid w:val="00C86ED0"/>
    <w:rsid w:val="00C91EF9"/>
    <w:rsid w:val="00C93F40"/>
    <w:rsid w:val="00C9701E"/>
    <w:rsid w:val="00C971E1"/>
    <w:rsid w:val="00CA0DA2"/>
    <w:rsid w:val="00CA1990"/>
    <w:rsid w:val="00CA1D8E"/>
    <w:rsid w:val="00CA3D0C"/>
    <w:rsid w:val="00CA5750"/>
    <w:rsid w:val="00CA7897"/>
    <w:rsid w:val="00CB1047"/>
    <w:rsid w:val="00CB2377"/>
    <w:rsid w:val="00CB7B22"/>
    <w:rsid w:val="00CC0D6A"/>
    <w:rsid w:val="00CC10D6"/>
    <w:rsid w:val="00CC43A1"/>
    <w:rsid w:val="00CD0C7C"/>
    <w:rsid w:val="00CD47D7"/>
    <w:rsid w:val="00CD509C"/>
    <w:rsid w:val="00CD5FA3"/>
    <w:rsid w:val="00CD708D"/>
    <w:rsid w:val="00CD7ECA"/>
    <w:rsid w:val="00CE0F76"/>
    <w:rsid w:val="00CE1377"/>
    <w:rsid w:val="00CE2522"/>
    <w:rsid w:val="00CE2AFC"/>
    <w:rsid w:val="00CE3B6F"/>
    <w:rsid w:val="00CF0667"/>
    <w:rsid w:val="00CF20E3"/>
    <w:rsid w:val="00CF2DC8"/>
    <w:rsid w:val="00CF42E1"/>
    <w:rsid w:val="00CF4987"/>
    <w:rsid w:val="00CF6EE6"/>
    <w:rsid w:val="00D01E09"/>
    <w:rsid w:val="00D17C97"/>
    <w:rsid w:val="00D2126E"/>
    <w:rsid w:val="00D233A0"/>
    <w:rsid w:val="00D24F38"/>
    <w:rsid w:val="00D255B6"/>
    <w:rsid w:val="00D2614D"/>
    <w:rsid w:val="00D264A8"/>
    <w:rsid w:val="00D2733F"/>
    <w:rsid w:val="00D2744D"/>
    <w:rsid w:val="00D305D8"/>
    <w:rsid w:val="00D309CC"/>
    <w:rsid w:val="00D31EF4"/>
    <w:rsid w:val="00D323CE"/>
    <w:rsid w:val="00D32F03"/>
    <w:rsid w:val="00D336EF"/>
    <w:rsid w:val="00D34BAF"/>
    <w:rsid w:val="00D34DED"/>
    <w:rsid w:val="00D4002E"/>
    <w:rsid w:val="00D402AE"/>
    <w:rsid w:val="00D4107C"/>
    <w:rsid w:val="00D42910"/>
    <w:rsid w:val="00D42D17"/>
    <w:rsid w:val="00D44418"/>
    <w:rsid w:val="00D46431"/>
    <w:rsid w:val="00D46524"/>
    <w:rsid w:val="00D46630"/>
    <w:rsid w:val="00D470E6"/>
    <w:rsid w:val="00D522A9"/>
    <w:rsid w:val="00D52CC1"/>
    <w:rsid w:val="00D52CF8"/>
    <w:rsid w:val="00D5538A"/>
    <w:rsid w:val="00D56A52"/>
    <w:rsid w:val="00D5772F"/>
    <w:rsid w:val="00D57972"/>
    <w:rsid w:val="00D60CCC"/>
    <w:rsid w:val="00D630EC"/>
    <w:rsid w:val="00D65D0C"/>
    <w:rsid w:val="00D675A9"/>
    <w:rsid w:val="00D70167"/>
    <w:rsid w:val="00D70A80"/>
    <w:rsid w:val="00D70DC5"/>
    <w:rsid w:val="00D724FE"/>
    <w:rsid w:val="00D7265E"/>
    <w:rsid w:val="00D738D6"/>
    <w:rsid w:val="00D73A84"/>
    <w:rsid w:val="00D75169"/>
    <w:rsid w:val="00D75373"/>
    <w:rsid w:val="00D755EB"/>
    <w:rsid w:val="00D82051"/>
    <w:rsid w:val="00D83B86"/>
    <w:rsid w:val="00D8751E"/>
    <w:rsid w:val="00D87592"/>
    <w:rsid w:val="00D87C1E"/>
    <w:rsid w:val="00D87E00"/>
    <w:rsid w:val="00D90241"/>
    <w:rsid w:val="00D908CC"/>
    <w:rsid w:val="00D90BCE"/>
    <w:rsid w:val="00D9134D"/>
    <w:rsid w:val="00D918E7"/>
    <w:rsid w:val="00D93361"/>
    <w:rsid w:val="00D94102"/>
    <w:rsid w:val="00DA41B1"/>
    <w:rsid w:val="00DA4F7A"/>
    <w:rsid w:val="00DA6748"/>
    <w:rsid w:val="00DA7A03"/>
    <w:rsid w:val="00DA7AB5"/>
    <w:rsid w:val="00DB1818"/>
    <w:rsid w:val="00DB31E1"/>
    <w:rsid w:val="00DB562B"/>
    <w:rsid w:val="00DB5E86"/>
    <w:rsid w:val="00DB60BB"/>
    <w:rsid w:val="00DC1EFE"/>
    <w:rsid w:val="00DC309B"/>
    <w:rsid w:val="00DC329B"/>
    <w:rsid w:val="00DC371D"/>
    <w:rsid w:val="00DC376C"/>
    <w:rsid w:val="00DC4DA2"/>
    <w:rsid w:val="00DC606D"/>
    <w:rsid w:val="00DD0D03"/>
    <w:rsid w:val="00DD0FAA"/>
    <w:rsid w:val="00DD18E2"/>
    <w:rsid w:val="00DD33C5"/>
    <w:rsid w:val="00DD37AD"/>
    <w:rsid w:val="00DD48D0"/>
    <w:rsid w:val="00DD4C17"/>
    <w:rsid w:val="00DE0800"/>
    <w:rsid w:val="00DE1934"/>
    <w:rsid w:val="00DE24E2"/>
    <w:rsid w:val="00DE2C8F"/>
    <w:rsid w:val="00DE5F0D"/>
    <w:rsid w:val="00DF07C7"/>
    <w:rsid w:val="00DF1729"/>
    <w:rsid w:val="00DF2B1F"/>
    <w:rsid w:val="00DF6189"/>
    <w:rsid w:val="00DF62CD"/>
    <w:rsid w:val="00E00340"/>
    <w:rsid w:val="00E017F8"/>
    <w:rsid w:val="00E024C7"/>
    <w:rsid w:val="00E03E13"/>
    <w:rsid w:val="00E066F0"/>
    <w:rsid w:val="00E11104"/>
    <w:rsid w:val="00E11FBA"/>
    <w:rsid w:val="00E1207D"/>
    <w:rsid w:val="00E135FC"/>
    <w:rsid w:val="00E15FEC"/>
    <w:rsid w:val="00E16509"/>
    <w:rsid w:val="00E179C4"/>
    <w:rsid w:val="00E20C1E"/>
    <w:rsid w:val="00E22C63"/>
    <w:rsid w:val="00E23941"/>
    <w:rsid w:val="00E23A0E"/>
    <w:rsid w:val="00E25652"/>
    <w:rsid w:val="00E25959"/>
    <w:rsid w:val="00E25B0D"/>
    <w:rsid w:val="00E312A0"/>
    <w:rsid w:val="00E320E8"/>
    <w:rsid w:val="00E339C0"/>
    <w:rsid w:val="00E34208"/>
    <w:rsid w:val="00E3507C"/>
    <w:rsid w:val="00E37097"/>
    <w:rsid w:val="00E404C8"/>
    <w:rsid w:val="00E42A7C"/>
    <w:rsid w:val="00E441B7"/>
    <w:rsid w:val="00E44582"/>
    <w:rsid w:val="00E45C16"/>
    <w:rsid w:val="00E468FF"/>
    <w:rsid w:val="00E46F03"/>
    <w:rsid w:val="00E5006C"/>
    <w:rsid w:val="00E50ACC"/>
    <w:rsid w:val="00E52814"/>
    <w:rsid w:val="00E55017"/>
    <w:rsid w:val="00E55188"/>
    <w:rsid w:val="00E56275"/>
    <w:rsid w:val="00E60B57"/>
    <w:rsid w:val="00E70A5F"/>
    <w:rsid w:val="00E72324"/>
    <w:rsid w:val="00E72ABE"/>
    <w:rsid w:val="00E74849"/>
    <w:rsid w:val="00E749E6"/>
    <w:rsid w:val="00E75436"/>
    <w:rsid w:val="00E766B0"/>
    <w:rsid w:val="00E76D0E"/>
    <w:rsid w:val="00E77645"/>
    <w:rsid w:val="00E85AAC"/>
    <w:rsid w:val="00E863AD"/>
    <w:rsid w:val="00E876B9"/>
    <w:rsid w:val="00E8799B"/>
    <w:rsid w:val="00E87C7E"/>
    <w:rsid w:val="00E900E6"/>
    <w:rsid w:val="00E9196D"/>
    <w:rsid w:val="00E91ED8"/>
    <w:rsid w:val="00E92620"/>
    <w:rsid w:val="00E92F3E"/>
    <w:rsid w:val="00E94A6D"/>
    <w:rsid w:val="00E95242"/>
    <w:rsid w:val="00E959A4"/>
    <w:rsid w:val="00E963AF"/>
    <w:rsid w:val="00E9653E"/>
    <w:rsid w:val="00E97A6A"/>
    <w:rsid w:val="00E97A75"/>
    <w:rsid w:val="00EA04CC"/>
    <w:rsid w:val="00EA13C3"/>
    <w:rsid w:val="00EB1D71"/>
    <w:rsid w:val="00EB26BD"/>
    <w:rsid w:val="00EB283B"/>
    <w:rsid w:val="00EB3A5B"/>
    <w:rsid w:val="00EB3AE6"/>
    <w:rsid w:val="00EB51C6"/>
    <w:rsid w:val="00EB5617"/>
    <w:rsid w:val="00EB625D"/>
    <w:rsid w:val="00EB7DBC"/>
    <w:rsid w:val="00EC0735"/>
    <w:rsid w:val="00EC1E30"/>
    <w:rsid w:val="00EC1F13"/>
    <w:rsid w:val="00EC2476"/>
    <w:rsid w:val="00EC34C0"/>
    <w:rsid w:val="00EC43BD"/>
    <w:rsid w:val="00EC4A25"/>
    <w:rsid w:val="00EC523E"/>
    <w:rsid w:val="00EC5242"/>
    <w:rsid w:val="00EC66DA"/>
    <w:rsid w:val="00EC6DEF"/>
    <w:rsid w:val="00EC74C4"/>
    <w:rsid w:val="00ED0A0B"/>
    <w:rsid w:val="00ED310A"/>
    <w:rsid w:val="00ED3BAC"/>
    <w:rsid w:val="00ED4964"/>
    <w:rsid w:val="00ED57CE"/>
    <w:rsid w:val="00ED7B47"/>
    <w:rsid w:val="00EE005C"/>
    <w:rsid w:val="00EE26B7"/>
    <w:rsid w:val="00EE3D06"/>
    <w:rsid w:val="00EE518E"/>
    <w:rsid w:val="00EE5AA7"/>
    <w:rsid w:val="00EE5FEA"/>
    <w:rsid w:val="00EE696A"/>
    <w:rsid w:val="00EF0368"/>
    <w:rsid w:val="00EF03DB"/>
    <w:rsid w:val="00EF084E"/>
    <w:rsid w:val="00EF21C7"/>
    <w:rsid w:val="00EF3D53"/>
    <w:rsid w:val="00EF44F8"/>
    <w:rsid w:val="00EF51E4"/>
    <w:rsid w:val="00EF63C4"/>
    <w:rsid w:val="00EF646C"/>
    <w:rsid w:val="00EF7447"/>
    <w:rsid w:val="00F0075D"/>
    <w:rsid w:val="00F01F6C"/>
    <w:rsid w:val="00F025A2"/>
    <w:rsid w:val="00F03A34"/>
    <w:rsid w:val="00F04712"/>
    <w:rsid w:val="00F05063"/>
    <w:rsid w:val="00F066AD"/>
    <w:rsid w:val="00F112A7"/>
    <w:rsid w:val="00F1197C"/>
    <w:rsid w:val="00F134B8"/>
    <w:rsid w:val="00F14048"/>
    <w:rsid w:val="00F157A1"/>
    <w:rsid w:val="00F21311"/>
    <w:rsid w:val="00F213B8"/>
    <w:rsid w:val="00F2275C"/>
    <w:rsid w:val="00F22A0A"/>
    <w:rsid w:val="00F22EC7"/>
    <w:rsid w:val="00F24B0C"/>
    <w:rsid w:val="00F25B0A"/>
    <w:rsid w:val="00F3058B"/>
    <w:rsid w:val="00F305B5"/>
    <w:rsid w:val="00F3112C"/>
    <w:rsid w:val="00F325C8"/>
    <w:rsid w:val="00F3556C"/>
    <w:rsid w:val="00F35E12"/>
    <w:rsid w:val="00F37886"/>
    <w:rsid w:val="00F412EA"/>
    <w:rsid w:val="00F42BC6"/>
    <w:rsid w:val="00F43FB7"/>
    <w:rsid w:val="00F45F2C"/>
    <w:rsid w:val="00F57312"/>
    <w:rsid w:val="00F62AEB"/>
    <w:rsid w:val="00F63351"/>
    <w:rsid w:val="00F63783"/>
    <w:rsid w:val="00F64664"/>
    <w:rsid w:val="00F653B8"/>
    <w:rsid w:val="00F6691C"/>
    <w:rsid w:val="00F66FEC"/>
    <w:rsid w:val="00F703CE"/>
    <w:rsid w:val="00F70647"/>
    <w:rsid w:val="00F725F6"/>
    <w:rsid w:val="00F731CE"/>
    <w:rsid w:val="00F738D8"/>
    <w:rsid w:val="00F741BF"/>
    <w:rsid w:val="00F742F8"/>
    <w:rsid w:val="00F74380"/>
    <w:rsid w:val="00F80EF2"/>
    <w:rsid w:val="00F81C94"/>
    <w:rsid w:val="00F83FE1"/>
    <w:rsid w:val="00F84FF4"/>
    <w:rsid w:val="00F85164"/>
    <w:rsid w:val="00F855B5"/>
    <w:rsid w:val="00F859C9"/>
    <w:rsid w:val="00F923B2"/>
    <w:rsid w:val="00F94ABD"/>
    <w:rsid w:val="00F971DF"/>
    <w:rsid w:val="00FA1266"/>
    <w:rsid w:val="00FA47C1"/>
    <w:rsid w:val="00FA5758"/>
    <w:rsid w:val="00FA7E1D"/>
    <w:rsid w:val="00FB05AF"/>
    <w:rsid w:val="00FB140E"/>
    <w:rsid w:val="00FB2288"/>
    <w:rsid w:val="00FB4094"/>
    <w:rsid w:val="00FB58D8"/>
    <w:rsid w:val="00FB7999"/>
    <w:rsid w:val="00FB7E83"/>
    <w:rsid w:val="00FC1192"/>
    <w:rsid w:val="00FD24BF"/>
    <w:rsid w:val="00FD472C"/>
    <w:rsid w:val="00FD68AD"/>
    <w:rsid w:val="00FE47F4"/>
    <w:rsid w:val="00FF1961"/>
    <w:rsid w:val="00FF1985"/>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w:uiPriority="78" w:qFormat="1"/>
    <w:lsdException w:name="List Bullet 2" w:uiPriority="78" w:qFormat="1"/>
    <w:lsdException w:name="List Bullet 3" w:uiPriority="78"/>
    <w:lsdException w:name="List Bullet 4" w:uiPriority="78"/>
    <w:lsdException w:name="List Bullet 5" w:uiPriority="78"/>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D1A"/>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uiPriority w:val="78"/>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uiPriority w:val="78"/>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paragraph" w:customStyle="1" w:styleId="NormalParagraph">
    <w:name w:val="Normal Paragraph"/>
    <w:link w:val="NormalParagraphChar"/>
    <w:qFormat/>
    <w:rsid w:val="00C541A3"/>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C541A3"/>
    <w:rPr>
      <w:rFonts w:ascii="Arial" w:eastAsia="SimSun" w:hAnsi="Arial"/>
      <w:sz w:val="22"/>
      <w:szCs w:val="22"/>
    </w:rPr>
  </w:style>
  <w:style w:type="paragraph" w:styleId="ListBullet">
    <w:name w:val="List Bullet"/>
    <w:basedOn w:val="Normal"/>
    <w:uiPriority w:val="78"/>
    <w:qFormat/>
    <w:rsid w:val="005E0606"/>
    <w:pPr>
      <w:tabs>
        <w:tab w:val="num" w:pos="425"/>
      </w:tabs>
      <w:spacing w:after="120" w:line="271" w:lineRule="auto"/>
      <w:ind w:left="425" w:hanging="425"/>
    </w:pPr>
    <w:rPr>
      <w:rFonts w:asciiTheme="minorHAnsi" w:eastAsiaTheme="minorHAnsi" w:hAnsiTheme="minorHAnsi" w:cstheme="minorBidi"/>
      <w:szCs w:val="20"/>
    </w:rPr>
  </w:style>
  <w:style w:type="paragraph" w:styleId="ListBullet2">
    <w:name w:val="List Bullet 2"/>
    <w:basedOn w:val="ListBullet"/>
    <w:uiPriority w:val="78"/>
    <w:qFormat/>
    <w:rsid w:val="005E0606"/>
    <w:pPr>
      <w:tabs>
        <w:tab w:val="clear" w:pos="425"/>
        <w:tab w:val="num" w:pos="851"/>
      </w:tabs>
      <w:ind w:left="850"/>
    </w:pPr>
  </w:style>
  <w:style w:type="paragraph" w:styleId="ListBullet3">
    <w:name w:val="List Bullet 3"/>
    <w:basedOn w:val="ListBullet2"/>
    <w:uiPriority w:val="78"/>
    <w:unhideWhenUsed/>
    <w:rsid w:val="005E0606"/>
    <w:pPr>
      <w:tabs>
        <w:tab w:val="clear" w:pos="851"/>
        <w:tab w:val="num" w:pos="1276"/>
      </w:tabs>
      <w:ind w:left="1275"/>
    </w:pPr>
  </w:style>
  <w:style w:type="numbering" w:customStyle="1" w:styleId="RSBullets">
    <w:name w:val="R&amp;S Bullets"/>
    <w:uiPriority w:val="99"/>
    <w:rsid w:val="005E0606"/>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345134938">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20796835">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12089494">
      <w:bodyDiv w:val="1"/>
      <w:marLeft w:val="0"/>
      <w:marRight w:val="0"/>
      <w:marTop w:val="0"/>
      <w:marBottom w:val="0"/>
      <w:divBdr>
        <w:top w:val="none" w:sz="0" w:space="0" w:color="auto"/>
        <w:left w:val="none" w:sz="0" w:space="0" w:color="auto"/>
        <w:bottom w:val="none" w:sz="0" w:space="0" w:color="auto"/>
        <w:right w:val="none" w:sz="0" w:space="0" w:color="auto"/>
      </w:divBdr>
      <w:divsChild>
        <w:div w:id="1506433363">
          <w:marLeft w:val="0"/>
          <w:marRight w:val="0"/>
          <w:marTop w:val="60"/>
          <w:marBottom w:val="0"/>
          <w:divBdr>
            <w:top w:val="none" w:sz="0" w:space="0" w:color="auto"/>
            <w:left w:val="none" w:sz="0" w:space="0" w:color="auto"/>
            <w:bottom w:val="none" w:sz="0" w:space="0" w:color="auto"/>
            <w:right w:val="none" w:sz="0" w:space="0" w:color="auto"/>
          </w:divBdr>
        </w:div>
      </w:divsChild>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1125</TotalTime>
  <Pages>10</Pages>
  <Words>3091</Words>
  <Characters>17622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20672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474</cp:revision>
  <cp:lastPrinted>2019-02-25T14:05:00Z</cp:lastPrinted>
  <dcterms:created xsi:type="dcterms:W3CDTF">2022-01-10T21:43:00Z</dcterms:created>
  <dcterms:modified xsi:type="dcterms:W3CDTF">2024-02-19T20:03:00Z</dcterms:modified>
  <cp:category/>
</cp:coreProperties>
</file>